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6A" w:rsidRDefault="0068296A"/>
    <w:p w:rsidR="001A174E" w:rsidRDefault="001A174E"/>
    <w:p w:rsidR="001A174E" w:rsidRDefault="001A174E" w:rsidP="001A174E">
      <w:pPr>
        <w:jc w:val="center"/>
        <w:rPr>
          <w:rFonts w:ascii="Antique Olive" w:hAnsi="Antique Olive" w:cs="Arial"/>
          <w:b/>
          <w:sz w:val="96"/>
          <w:szCs w:val="96"/>
        </w:rPr>
      </w:pPr>
    </w:p>
    <w:p w:rsidR="001A174E" w:rsidRDefault="001A174E" w:rsidP="001A174E">
      <w:pPr>
        <w:jc w:val="center"/>
        <w:rPr>
          <w:rFonts w:ascii="Antique Olive" w:hAnsi="Antique Olive" w:cs="Arial"/>
          <w:b/>
          <w:sz w:val="96"/>
          <w:szCs w:val="96"/>
        </w:rPr>
      </w:pPr>
    </w:p>
    <w:p w:rsidR="001A174E" w:rsidRDefault="001A174E" w:rsidP="001A174E">
      <w:pPr>
        <w:jc w:val="center"/>
        <w:rPr>
          <w:rFonts w:ascii="Antique Olive" w:hAnsi="Antique Olive" w:cs="Arial"/>
          <w:b/>
          <w:sz w:val="96"/>
          <w:szCs w:val="96"/>
        </w:rPr>
      </w:pPr>
      <w:r w:rsidRPr="001A174E">
        <w:rPr>
          <w:rFonts w:ascii="Antique Olive" w:hAnsi="Antique Olive" w:cs="Arial"/>
          <w:b/>
          <w:sz w:val="96"/>
          <w:szCs w:val="96"/>
        </w:rPr>
        <w:t>INFORME SOLICITUDES ACCESO A LA INFORMACIÓN</w:t>
      </w:r>
    </w:p>
    <w:p w:rsidR="00624925" w:rsidRPr="001A174E" w:rsidRDefault="00624925" w:rsidP="001A174E">
      <w:pPr>
        <w:jc w:val="center"/>
        <w:rPr>
          <w:rFonts w:ascii="Antique Olive" w:hAnsi="Antique Olive" w:cs="Arial"/>
          <w:b/>
          <w:sz w:val="96"/>
          <w:szCs w:val="96"/>
        </w:rPr>
      </w:pPr>
      <w:r>
        <w:rPr>
          <w:rFonts w:ascii="Antique Olive" w:hAnsi="Antique Olive" w:cs="Arial"/>
          <w:b/>
          <w:sz w:val="96"/>
          <w:szCs w:val="96"/>
        </w:rPr>
        <w:t>II SEMESTRE 2018</w:t>
      </w: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Default="001A174E" w:rsidP="001A174E">
      <w:pPr>
        <w:jc w:val="center"/>
      </w:pPr>
    </w:p>
    <w:p w:rsidR="001A174E" w:rsidRPr="00624925" w:rsidRDefault="001A174E" w:rsidP="00624925">
      <w:pPr>
        <w:rPr>
          <w:rFonts w:ascii="Antique Olive" w:hAnsi="Antique Olive"/>
          <w:sz w:val="24"/>
          <w:szCs w:val="24"/>
        </w:rPr>
      </w:pPr>
    </w:p>
    <w:p w:rsidR="001A174E" w:rsidRPr="00624925" w:rsidRDefault="001A174E" w:rsidP="001A174E">
      <w:pPr>
        <w:jc w:val="both"/>
        <w:rPr>
          <w:rFonts w:ascii="Antique Olive" w:hAnsi="Antique Olive" w:cs="Arial"/>
          <w:sz w:val="24"/>
          <w:szCs w:val="24"/>
        </w:rPr>
      </w:pPr>
      <w:r w:rsidRPr="00624925">
        <w:rPr>
          <w:rFonts w:ascii="Antique Olive" w:hAnsi="Antique Olive" w:cs="Arial"/>
          <w:sz w:val="24"/>
          <w:szCs w:val="24"/>
        </w:rPr>
        <w:t xml:space="preserve">Este informe corresponde al monitoreo de acceso a la información pública, del periodo comprendido entre el 1 de julio al 31 de diciembre de 2018, respecto a las variables de número de solicitudes recibidas, número de solicitudes que fueron trasladadas a otra institución, tiempo de respuesta a cada solicitud y número de solicitudes en las que se negó la información. </w:t>
      </w:r>
    </w:p>
    <w:p w:rsidR="001A174E" w:rsidRPr="00624925" w:rsidRDefault="001A174E" w:rsidP="001A174E">
      <w:pPr>
        <w:jc w:val="both"/>
        <w:rPr>
          <w:rFonts w:ascii="Antique Olive" w:hAnsi="Antique Olive" w:cs="Arial"/>
          <w:sz w:val="24"/>
          <w:szCs w:val="24"/>
        </w:rPr>
      </w:pPr>
    </w:p>
    <w:p w:rsidR="001A174E" w:rsidRPr="00624925" w:rsidRDefault="001A174E" w:rsidP="001A174E">
      <w:pPr>
        <w:jc w:val="both"/>
        <w:rPr>
          <w:rFonts w:ascii="Antique Olive" w:hAnsi="Antique Olive" w:cs="Arial"/>
          <w:b/>
          <w:sz w:val="24"/>
          <w:szCs w:val="24"/>
        </w:rPr>
      </w:pPr>
    </w:p>
    <w:p w:rsidR="001A174E" w:rsidRPr="00624925" w:rsidRDefault="001A174E" w:rsidP="001A174E">
      <w:pPr>
        <w:pStyle w:val="Prrafodelista"/>
        <w:numPr>
          <w:ilvl w:val="0"/>
          <w:numId w:val="1"/>
        </w:numPr>
        <w:spacing w:after="160" w:line="256" w:lineRule="auto"/>
        <w:contextualSpacing/>
        <w:jc w:val="both"/>
        <w:rPr>
          <w:rFonts w:ascii="Antique Olive" w:hAnsi="Antique Olive" w:cs="Arial"/>
          <w:b/>
          <w:sz w:val="24"/>
          <w:szCs w:val="24"/>
        </w:rPr>
      </w:pPr>
      <w:r w:rsidRPr="00624925">
        <w:rPr>
          <w:rFonts w:ascii="Antique Olive" w:hAnsi="Antique Olive" w:cs="Arial"/>
          <w:b/>
          <w:sz w:val="24"/>
          <w:szCs w:val="24"/>
        </w:rPr>
        <w:t>Número de solicitudes recibidas:</w:t>
      </w:r>
    </w:p>
    <w:p w:rsidR="001A174E" w:rsidRPr="00624925" w:rsidRDefault="009234EC" w:rsidP="00BA16CF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>De las 38.727 peticiones</w:t>
      </w:r>
      <w:r w:rsidR="001A174E" w:rsidRPr="00624925">
        <w:rPr>
          <w:rFonts w:ascii="Antique Olive" w:hAnsi="Antique Olive" w:cs="Arial"/>
          <w:sz w:val="24"/>
          <w:szCs w:val="24"/>
        </w:rPr>
        <w:t xml:space="preserve"> recibidas en el I</w:t>
      </w:r>
      <w:r w:rsidR="00BA16CF" w:rsidRPr="00624925">
        <w:rPr>
          <w:rFonts w:ascii="Antique Olive" w:hAnsi="Antique Olive" w:cs="Arial"/>
          <w:sz w:val="24"/>
          <w:szCs w:val="24"/>
        </w:rPr>
        <w:t>I</w:t>
      </w:r>
      <w:r w:rsidR="001A174E" w:rsidRPr="00624925">
        <w:rPr>
          <w:rFonts w:ascii="Antique Olive" w:hAnsi="Antique Olive" w:cs="Arial"/>
          <w:sz w:val="24"/>
          <w:szCs w:val="24"/>
        </w:rPr>
        <w:t xml:space="preserve"> semestre del año 2018, </w:t>
      </w:r>
      <w:r w:rsidR="001964CD">
        <w:rPr>
          <w:rFonts w:ascii="Antique Olive" w:hAnsi="Antique Olive" w:cs="Arial"/>
          <w:sz w:val="24"/>
          <w:szCs w:val="24"/>
        </w:rPr>
        <w:t>se evidencia que un</w:t>
      </w:r>
      <w:r w:rsidR="00B82FA4" w:rsidRPr="00B82FA4">
        <w:rPr>
          <w:rFonts w:ascii="Antique Olive" w:hAnsi="Antique Olive" w:cs="Arial"/>
          <w:sz w:val="24"/>
          <w:szCs w:val="24"/>
        </w:rPr>
        <w:t xml:space="preserve"> 57</w:t>
      </w:r>
      <w:r w:rsidR="001A174E" w:rsidRPr="00B82FA4">
        <w:rPr>
          <w:rFonts w:ascii="Antique Olive" w:hAnsi="Antique Olive" w:cs="Arial"/>
          <w:sz w:val="24"/>
          <w:szCs w:val="24"/>
        </w:rPr>
        <w:t>% corresponde a la solicitud de i</w:t>
      </w:r>
      <w:r w:rsidR="00B82FA4" w:rsidRPr="00B82FA4">
        <w:rPr>
          <w:rFonts w:ascii="Antique Olive" w:hAnsi="Antique Olive" w:cs="Arial"/>
          <w:sz w:val="24"/>
          <w:szCs w:val="24"/>
        </w:rPr>
        <w:t>nformación</w:t>
      </w:r>
      <w:r>
        <w:rPr>
          <w:rFonts w:ascii="Antique Olive" w:hAnsi="Antique Olive" w:cs="Arial"/>
          <w:sz w:val="24"/>
          <w:szCs w:val="24"/>
        </w:rPr>
        <w:t xml:space="preserve"> seguida con un</w:t>
      </w:r>
      <w:r w:rsidR="001A174E" w:rsidRPr="00B82FA4">
        <w:rPr>
          <w:rFonts w:ascii="Antique Olive" w:hAnsi="Antique Olive" w:cs="Arial"/>
          <w:sz w:val="24"/>
          <w:szCs w:val="24"/>
        </w:rPr>
        <w:t xml:space="preserve"> </w:t>
      </w:r>
      <w:r w:rsidR="00B82FA4" w:rsidRPr="00B82FA4">
        <w:rPr>
          <w:rFonts w:ascii="Antique Olive" w:hAnsi="Antique Olive" w:cs="Arial"/>
          <w:sz w:val="24"/>
          <w:szCs w:val="24"/>
        </w:rPr>
        <w:t>9</w:t>
      </w:r>
      <w:r w:rsidR="001A174E" w:rsidRPr="00B82FA4">
        <w:rPr>
          <w:rFonts w:ascii="Antique Olive" w:hAnsi="Antique Olive" w:cs="Arial"/>
          <w:sz w:val="24"/>
          <w:szCs w:val="24"/>
        </w:rPr>
        <w:t xml:space="preserve">% </w:t>
      </w:r>
      <w:r w:rsidR="001A174E" w:rsidRPr="00624925">
        <w:rPr>
          <w:rFonts w:ascii="Antique Olive" w:hAnsi="Antique Olive" w:cs="Arial"/>
          <w:sz w:val="24"/>
          <w:szCs w:val="24"/>
        </w:rPr>
        <w:t>de pet</w:t>
      </w:r>
      <w:r w:rsidR="00B82FA4">
        <w:rPr>
          <w:rFonts w:ascii="Antique Olive" w:hAnsi="Antique Olive" w:cs="Arial"/>
          <w:sz w:val="24"/>
          <w:szCs w:val="24"/>
        </w:rPr>
        <w:t>ic</w:t>
      </w:r>
      <w:r>
        <w:rPr>
          <w:rFonts w:ascii="Antique Olive" w:hAnsi="Antique Olive" w:cs="Arial"/>
          <w:sz w:val="24"/>
          <w:szCs w:val="24"/>
        </w:rPr>
        <w:t xml:space="preserve">iones entre autoridades, y un </w:t>
      </w:r>
      <w:r w:rsidR="00B82FA4">
        <w:rPr>
          <w:rFonts w:ascii="Antique Olive" w:hAnsi="Antique Olive" w:cs="Arial"/>
          <w:sz w:val="24"/>
          <w:szCs w:val="24"/>
        </w:rPr>
        <w:t>7</w:t>
      </w:r>
      <w:r w:rsidR="001A174E" w:rsidRPr="00624925">
        <w:rPr>
          <w:rFonts w:ascii="Antique Olive" w:hAnsi="Antique Olive" w:cs="Arial"/>
          <w:sz w:val="24"/>
          <w:szCs w:val="24"/>
        </w:rPr>
        <w:t>% a</w:t>
      </w:r>
      <w:r w:rsidR="00B82FA4">
        <w:rPr>
          <w:rFonts w:ascii="Antique Olive" w:hAnsi="Antique Olive" w:cs="Arial"/>
          <w:sz w:val="24"/>
          <w:szCs w:val="24"/>
        </w:rPr>
        <w:t xml:space="preserve"> solicitudes de certificación.</w:t>
      </w:r>
    </w:p>
    <w:p w:rsidR="00BA16CF" w:rsidRPr="00624925" w:rsidRDefault="00BA16CF" w:rsidP="00BA16CF">
      <w:pPr>
        <w:jc w:val="both"/>
        <w:rPr>
          <w:rFonts w:ascii="Antique Olive" w:hAnsi="Antique Olive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170"/>
      </w:tblGrid>
      <w:tr w:rsidR="00BA16CF" w:rsidRPr="00624925" w:rsidTr="00624925">
        <w:tc>
          <w:tcPr>
            <w:tcW w:w="4390" w:type="dxa"/>
            <w:shd w:val="clear" w:color="auto" w:fill="9CC2E5" w:themeFill="accent1" w:themeFillTint="99"/>
          </w:tcPr>
          <w:p w:rsidR="00BA16CF" w:rsidRPr="00624925" w:rsidRDefault="00BA16CF" w:rsidP="00624925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 w:rsidRPr="00624925">
              <w:rPr>
                <w:rFonts w:ascii="Antique Olive" w:hAnsi="Antique Olive"/>
                <w:sz w:val="24"/>
                <w:szCs w:val="24"/>
              </w:rPr>
              <w:t>CAUSAS QUE MOTIVARON LAS PETICIONES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BA16CF" w:rsidRPr="00624925" w:rsidRDefault="00BA16CF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624925">
              <w:rPr>
                <w:rFonts w:ascii="Antique Olive" w:hAnsi="Antique Olive"/>
                <w:sz w:val="24"/>
                <w:szCs w:val="24"/>
              </w:rPr>
              <w:t>TOTAL SEMESTRE</w:t>
            </w:r>
          </w:p>
        </w:tc>
        <w:tc>
          <w:tcPr>
            <w:tcW w:w="2170" w:type="dxa"/>
            <w:shd w:val="clear" w:color="auto" w:fill="9CC2E5" w:themeFill="accent1" w:themeFillTint="99"/>
          </w:tcPr>
          <w:p w:rsidR="00BA16CF" w:rsidRPr="00624925" w:rsidRDefault="00BA16CF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624925">
              <w:rPr>
                <w:rFonts w:ascii="Antique Olive" w:hAnsi="Antique Olive"/>
                <w:sz w:val="24"/>
                <w:szCs w:val="24"/>
              </w:rPr>
              <w:t>% II SEMESTRE</w:t>
            </w:r>
          </w:p>
        </w:tc>
      </w:tr>
      <w:tr w:rsidR="00BA16CF" w:rsidRPr="00624925" w:rsidTr="00624925">
        <w:tc>
          <w:tcPr>
            <w:tcW w:w="4390" w:type="dxa"/>
          </w:tcPr>
          <w:p w:rsidR="00BA16CF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Solicitud de Información</w:t>
            </w:r>
          </w:p>
        </w:tc>
        <w:tc>
          <w:tcPr>
            <w:tcW w:w="2268" w:type="dxa"/>
          </w:tcPr>
          <w:p w:rsidR="00BA16CF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22.246</w:t>
            </w:r>
          </w:p>
        </w:tc>
        <w:tc>
          <w:tcPr>
            <w:tcW w:w="2170" w:type="dxa"/>
          </w:tcPr>
          <w:p w:rsidR="00BA16CF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57%</w:t>
            </w:r>
          </w:p>
        </w:tc>
      </w:tr>
      <w:tr w:rsidR="00BA16CF" w:rsidRPr="00624925" w:rsidTr="00624925">
        <w:tc>
          <w:tcPr>
            <w:tcW w:w="4390" w:type="dxa"/>
          </w:tcPr>
          <w:p w:rsidR="00BA16CF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Peticiones entre autoridades</w:t>
            </w:r>
          </w:p>
        </w:tc>
        <w:tc>
          <w:tcPr>
            <w:tcW w:w="2268" w:type="dxa"/>
          </w:tcPr>
          <w:p w:rsidR="00BA16CF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3.615</w:t>
            </w:r>
          </w:p>
        </w:tc>
        <w:tc>
          <w:tcPr>
            <w:tcW w:w="2170" w:type="dxa"/>
          </w:tcPr>
          <w:p w:rsidR="00BA16CF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9%</w:t>
            </w:r>
          </w:p>
        </w:tc>
      </w:tr>
      <w:tr w:rsidR="00BA16CF" w:rsidRPr="00624925" w:rsidTr="00624925">
        <w:tc>
          <w:tcPr>
            <w:tcW w:w="4390" w:type="dxa"/>
          </w:tcPr>
          <w:p w:rsidR="00BA16CF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Solicitudes de certificación</w:t>
            </w:r>
          </w:p>
        </w:tc>
        <w:tc>
          <w:tcPr>
            <w:tcW w:w="2268" w:type="dxa"/>
          </w:tcPr>
          <w:p w:rsidR="00BA16CF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2.801</w:t>
            </w:r>
          </w:p>
        </w:tc>
        <w:tc>
          <w:tcPr>
            <w:tcW w:w="2170" w:type="dxa"/>
          </w:tcPr>
          <w:p w:rsidR="00BA16CF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7%</w:t>
            </w:r>
          </w:p>
        </w:tc>
      </w:tr>
      <w:tr w:rsidR="00BA16CF" w:rsidRPr="00624925" w:rsidTr="00624925">
        <w:tc>
          <w:tcPr>
            <w:tcW w:w="4390" w:type="dxa"/>
          </w:tcPr>
          <w:p w:rsidR="00BA16CF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Intervención de una entidad o funcionarios</w:t>
            </w:r>
          </w:p>
        </w:tc>
        <w:tc>
          <w:tcPr>
            <w:tcW w:w="2268" w:type="dxa"/>
          </w:tcPr>
          <w:p w:rsidR="00BA16CF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1.816</w:t>
            </w:r>
          </w:p>
        </w:tc>
        <w:tc>
          <w:tcPr>
            <w:tcW w:w="2170" w:type="dxa"/>
          </w:tcPr>
          <w:p w:rsidR="00BA16CF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5%</w:t>
            </w:r>
          </w:p>
        </w:tc>
      </w:tr>
      <w:tr w:rsidR="00BA16CF" w:rsidRPr="00624925" w:rsidTr="00624925">
        <w:tc>
          <w:tcPr>
            <w:tcW w:w="4390" w:type="dxa"/>
          </w:tcPr>
          <w:p w:rsidR="00BA16CF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Otras</w:t>
            </w:r>
          </w:p>
        </w:tc>
        <w:tc>
          <w:tcPr>
            <w:tcW w:w="2268" w:type="dxa"/>
          </w:tcPr>
          <w:p w:rsidR="00BA16CF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2.036</w:t>
            </w:r>
          </w:p>
        </w:tc>
        <w:tc>
          <w:tcPr>
            <w:tcW w:w="2170" w:type="dxa"/>
          </w:tcPr>
          <w:p w:rsidR="00BA16CF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5%</w:t>
            </w:r>
          </w:p>
        </w:tc>
      </w:tr>
      <w:tr w:rsidR="00BA16CF" w:rsidRPr="00624925" w:rsidTr="00624925">
        <w:tc>
          <w:tcPr>
            <w:tcW w:w="4390" w:type="dxa"/>
          </w:tcPr>
          <w:p w:rsidR="00BA16CF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Copia de documentos</w:t>
            </w:r>
          </w:p>
        </w:tc>
        <w:tc>
          <w:tcPr>
            <w:tcW w:w="2268" w:type="dxa"/>
          </w:tcPr>
          <w:p w:rsidR="00BA16CF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1.782</w:t>
            </w:r>
          </w:p>
        </w:tc>
        <w:tc>
          <w:tcPr>
            <w:tcW w:w="2170" w:type="dxa"/>
          </w:tcPr>
          <w:p w:rsidR="00BA16CF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5%</w:t>
            </w:r>
          </w:p>
        </w:tc>
      </w:tr>
      <w:tr w:rsidR="00BA16CF" w:rsidRPr="00624925" w:rsidTr="00624925">
        <w:tc>
          <w:tcPr>
            <w:tcW w:w="4390" w:type="dxa"/>
          </w:tcPr>
          <w:p w:rsidR="00BA16CF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Formular consulta</w:t>
            </w:r>
          </w:p>
        </w:tc>
        <w:tc>
          <w:tcPr>
            <w:tcW w:w="2268" w:type="dxa"/>
          </w:tcPr>
          <w:p w:rsidR="00BA16CF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1.216</w:t>
            </w:r>
          </w:p>
        </w:tc>
        <w:tc>
          <w:tcPr>
            <w:tcW w:w="2170" w:type="dxa"/>
          </w:tcPr>
          <w:p w:rsidR="00BA16CF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3%</w:t>
            </w:r>
          </w:p>
        </w:tc>
      </w:tr>
      <w:tr w:rsidR="00822010" w:rsidRPr="00624925" w:rsidTr="00624925">
        <w:tc>
          <w:tcPr>
            <w:tcW w:w="4390" w:type="dxa"/>
          </w:tcPr>
          <w:p w:rsidR="00822010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Prestación de un servicio</w:t>
            </w:r>
          </w:p>
        </w:tc>
        <w:tc>
          <w:tcPr>
            <w:tcW w:w="2268" w:type="dxa"/>
          </w:tcPr>
          <w:p w:rsidR="00822010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1.373</w:t>
            </w:r>
          </w:p>
        </w:tc>
        <w:tc>
          <w:tcPr>
            <w:tcW w:w="2170" w:type="dxa"/>
          </w:tcPr>
          <w:p w:rsidR="00822010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4%</w:t>
            </w:r>
          </w:p>
        </w:tc>
      </w:tr>
      <w:tr w:rsidR="00822010" w:rsidRPr="00624925" w:rsidTr="00624925">
        <w:tc>
          <w:tcPr>
            <w:tcW w:w="4390" w:type="dxa"/>
          </w:tcPr>
          <w:p w:rsidR="00822010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Reconocimiento de un derecho</w:t>
            </w:r>
          </w:p>
        </w:tc>
        <w:tc>
          <w:tcPr>
            <w:tcW w:w="2268" w:type="dxa"/>
          </w:tcPr>
          <w:p w:rsidR="00822010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797</w:t>
            </w:r>
          </w:p>
        </w:tc>
        <w:tc>
          <w:tcPr>
            <w:tcW w:w="2170" w:type="dxa"/>
          </w:tcPr>
          <w:p w:rsidR="00822010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2%</w:t>
            </w:r>
          </w:p>
        </w:tc>
      </w:tr>
      <w:tr w:rsidR="00822010" w:rsidRPr="00624925" w:rsidTr="00624925">
        <w:tc>
          <w:tcPr>
            <w:tcW w:w="4390" w:type="dxa"/>
          </w:tcPr>
          <w:p w:rsidR="00822010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Denuncia</w:t>
            </w:r>
          </w:p>
        </w:tc>
        <w:tc>
          <w:tcPr>
            <w:tcW w:w="2268" w:type="dxa"/>
          </w:tcPr>
          <w:p w:rsidR="00822010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349</w:t>
            </w:r>
          </w:p>
        </w:tc>
        <w:tc>
          <w:tcPr>
            <w:tcW w:w="2170" w:type="dxa"/>
          </w:tcPr>
          <w:p w:rsidR="00822010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1%</w:t>
            </w:r>
          </w:p>
        </w:tc>
      </w:tr>
      <w:tr w:rsidR="00822010" w:rsidRPr="00624925" w:rsidTr="00624925">
        <w:tc>
          <w:tcPr>
            <w:tcW w:w="4390" w:type="dxa"/>
          </w:tcPr>
          <w:p w:rsidR="00822010" w:rsidRPr="00F6470E" w:rsidRDefault="00822010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 xml:space="preserve">Interponer recursos </w:t>
            </w:r>
          </w:p>
        </w:tc>
        <w:tc>
          <w:tcPr>
            <w:tcW w:w="2268" w:type="dxa"/>
          </w:tcPr>
          <w:p w:rsidR="00822010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348</w:t>
            </w:r>
          </w:p>
        </w:tc>
        <w:tc>
          <w:tcPr>
            <w:tcW w:w="2170" w:type="dxa"/>
          </w:tcPr>
          <w:p w:rsidR="00822010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1%</w:t>
            </w:r>
          </w:p>
        </w:tc>
      </w:tr>
      <w:tr w:rsidR="006108DB" w:rsidRPr="00624925" w:rsidTr="00624925">
        <w:tc>
          <w:tcPr>
            <w:tcW w:w="4390" w:type="dxa"/>
          </w:tcPr>
          <w:p w:rsidR="006108DB" w:rsidRPr="00F6470E" w:rsidRDefault="006108DB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Resolución situación jurídica</w:t>
            </w:r>
          </w:p>
        </w:tc>
        <w:tc>
          <w:tcPr>
            <w:tcW w:w="2268" w:type="dxa"/>
          </w:tcPr>
          <w:p w:rsidR="006108DB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263</w:t>
            </w:r>
          </w:p>
        </w:tc>
        <w:tc>
          <w:tcPr>
            <w:tcW w:w="2170" w:type="dxa"/>
          </w:tcPr>
          <w:p w:rsidR="006108DB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1%</w:t>
            </w:r>
          </w:p>
        </w:tc>
      </w:tr>
      <w:tr w:rsidR="006108DB" w:rsidRPr="00624925" w:rsidTr="00624925">
        <w:tc>
          <w:tcPr>
            <w:tcW w:w="4390" w:type="dxa"/>
          </w:tcPr>
          <w:p w:rsidR="006108DB" w:rsidRPr="00F6470E" w:rsidRDefault="006108DB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Solicitud suspensión de investigación</w:t>
            </w:r>
          </w:p>
        </w:tc>
        <w:tc>
          <w:tcPr>
            <w:tcW w:w="2268" w:type="dxa"/>
          </w:tcPr>
          <w:p w:rsidR="006108DB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58</w:t>
            </w:r>
          </w:p>
        </w:tc>
        <w:tc>
          <w:tcPr>
            <w:tcW w:w="2170" w:type="dxa"/>
          </w:tcPr>
          <w:p w:rsidR="006108DB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0%</w:t>
            </w:r>
          </w:p>
        </w:tc>
      </w:tr>
      <w:tr w:rsidR="006108DB" w:rsidRPr="00624925" w:rsidTr="00624925">
        <w:tc>
          <w:tcPr>
            <w:tcW w:w="4390" w:type="dxa"/>
          </w:tcPr>
          <w:p w:rsidR="006108DB" w:rsidRPr="00F6470E" w:rsidRDefault="006108DB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 w:rsidRPr="00F6470E">
              <w:rPr>
                <w:rFonts w:ascii="Antique Olive" w:hAnsi="Antique Olive"/>
                <w:sz w:val="24"/>
                <w:szCs w:val="24"/>
              </w:rPr>
              <w:t>Informes a congresistas</w:t>
            </w:r>
          </w:p>
        </w:tc>
        <w:tc>
          <w:tcPr>
            <w:tcW w:w="2268" w:type="dxa"/>
          </w:tcPr>
          <w:p w:rsidR="006108DB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27</w:t>
            </w:r>
          </w:p>
        </w:tc>
        <w:tc>
          <w:tcPr>
            <w:tcW w:w="2170" w:type="dxa"/>
          </w:tcPr>
          <w:p w:rsidR="006108DB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0%</w:t>
            </w:r>
          </w:p>
        </w:tc>
      </w:tr>
      <w:tr w:rsidR="006108DB" w:rsidRPr="00624925" w:rsidTr="006953BA">
        <w:tc>
          <w:tcPr>
            <w:tcW w:w="4390" w:type="dxa"/>
            <w:shd w:val="clear" w:color="auto" w:fill="9CC2E5" w:themeFill="accent1" w:themeFillTint="99"/>
          </w:tcPr>
          <w:p w:rsidR="006108DB" w:rsidRDefault="006108DB" w:rsidP="00BA16CF">
            <w:pPr>
              <w:jc w:val="both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 xml:space="preserve">Total 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6108DB" w:rsidRPr="00624925" w:rsidRDefault="006108DB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38.727</w:t>
            </w:r>
          </w:p>
        </w:tc>
        <w:tc>
          <w:tcPr>
            <w:tcW w:w="2170" w:type="dxa"/>
            <w:shd w:val="clear" w:color="auto" w:fill="9CC2E5" w:themeFill="accent1" w:themeFillTint="99"/>
          </w:tcPr>
          <w:p w:rsidR="006108DB" w:rsidRPr="00624925" w:rsidRDefault="00617C18" w:rsidP="00617C18">
            <w:pPr>
              <w:jc w:val="center"/>
              <w:rPr>
                <w:rFonts w:ascii="Antique Olive" w:hAnsi="Antique Olive"/>
                <w:sz w:val="24"/>
                <w:szCs w:val="24"/>
              </w:rPr>
            </w:pPr>
            <w:r>
              <w:rPr>
                <w:rFonts w:ascii="Antique Olive" w:hAnsi="Antique Olive"/>
                <w:sz w:val="24"/>
                <w:szCs w:val="24"/>
              </w:rPr>
              <w:t>100%</w:t>
            </w:r>
          </w:p>
        </w:tc>
      </w:tr>
    </w:tbl>
    <w:p w:rsidR="00BA16CF" w:rsidRDefault="00BA16CF" w:rsidP="00BA16CF">
      <w:pPr>
        <w:jc w:val="both"/>
      </w:pPr>
    </w:p>
    <w:p w:rsidR="000F2370" w:rsidRDefault="000F2370" w:rsidP="00BA16CF">
      <w:pPr>
        <w:jc w:val="both"/>
      </w:pPr>
    </w:p>
    <w:p w:rsidR="00B82FA4" w:rsidRDefault="000F2370" w:rsidP="000F2370">
      <w:pPr>
        <w:jc w:val="both"/>
        <w:rPr>
          <w:rFonts w:ascii="Arial" w:hAnsi="Arial" w:cs="Arial"/>
          <w:b/>
          <w:sz w:val="24"/>
          <w:szCs w:val="24"/>
        </w:rPr>
      </w:pPr>
      <w:r w:rsidRPr="00123982">
        <w:rPr>
          <w:rFonts w:ascii="Arial" w:hAnsi="Arial" w:cs="Arial"/>
          <w:b/>
          <w:sz w:val="24"/>
          <w:szCs w:val="24"/>
        </w:rPr>
        <w:t xml:space="preserve">  </w:t>
      </w:r>
    </w:p>
    <w:p w:rsidR="00B82FA4" w:rsidRDefault="00B82FA4" w:rsidP="000F2370">
      <w:pPr>
        <w:jc w:val="both"/>
        <w:rPr>
          <w:rFonts w:ascii="Arial" w:hAnsi="Arial" w:cs="Arial"/>
          <w:b/>
          <w:sz w:val="24"/>
          <w:szCs w:val="24"/>
        </w:rPr>
      </w:pPr>
    </w:p>
    <w:p w:rsidR="000F2370" w:rsidRPr="000F2370" w:rsidRDefault="000F2370" w:rsidP="000F2370">
      <w:pPr>
        <w:jc w:val="both"/>
        <w:rPr>
          <w:rFonts w:ascii="Antique Olive" w:hAnsi="Antique Olive" w:cs="Arial"/>
          <w:b/>
          <w:sz w:val="24"/>
          <w:szCs w:val="24"/>
        </w:rPr>
      </w:pPr>
      <w:r w:rsidRPr="00123982">
        <w:rPr>
          <w:rFonts w:ascii="Arial" w:hAnsi="Arial" w:cs="Arial"/>
          <w:b/>
          <w:sz w:val="24"/>
          <w:szCs w:val="24"/>
        </w:rPr>
        <w:t xml:space="preserve">   </w:t>
      </w:r>
      <w:r w:rsidRPr="000F2370">
        <w:rPr>
          <w:rFonts w:ascii="Antique Olive" w:hAnsi="Antique Olive" w:cs="Arial"/>
          <w:b/>
          <w:sz w:val="24"/>
          <w:szCs w:val="24"/>
        </w:rPr>
        <w:t>2. Número de solicitudes que fueron trasladadas a otra institución por competencia legal:</w:t>
      </w:r>
    </w:p>
    <w:p w:rsidR="000F2370" w:rsidRPr="000F2370" w:rsidRDefault="000F2370" w:rsidP="000F2370">
      <w:pPr>
        <w:jc w:val="both"/>
        <w:rPr>
          <w:rFonts w:ascii="Antique Olive" w:hAnsi="Antique Olive" w:cs="Arial"/>
          <w:sz w:val="24"/>
          <w:szCs w:val="24"/>
        </w:rPr>
      </w:pPr>
    </w:p>
    <w:p w:rsidR="000F2370" w:rsidRPr="000F2370" w:rsidRDefault="000F2370" w:rsidP="000F2370">
      <w:pPr>
        <w:jc w:val="both"/>
        <w:rPr>
          <w:rFonts w:ascii="Antique Olive" w:hAnsi="Antique Olive" w:cs="Arial"/>
          <w:sz w:val="24"/>
          <w:szCs w:val="24"/>
        </w:rPr>
      </w:pPr>
      <w:r w:rsidRPr="000F2370">
        <w:rPr>
          <w:rFonts w:ascii="Antique Olive" w:hAnsi="Antique Olive" w:cs="Arial"/>
          <w:sz w:val="24"/>
          <w:szCs w:val="24"/>
        </w:rPr>
        <w:t>En el I</w:t>
      </w:r>
      <w:r w:rsidR="00E16E05">
        <w:rPr>
          <w:rFonts w:ascii="Antique Olive" w:hAnsi="Antique Olive" w:cs="Arial"/>
          <w:sz w:val="24"/>
          <w:szCs w:val="24"/>
        </w:rPr>
        <w:t>I</w:t>
      </w:r>
      <w:r w:rsidRPr="000F2370">
        <w:rPr>
          <w:rFonts w:ascii="Antique Olive" w:hAnsi="Antique Olive" w:cs="Arial"/>
          <w:sz w:val="24"/>
          <w:szCs w:val="24"/>
        </w:rPr>
        <w:t xml:space="preserve"> semestre a través de las Oficinas de Servicio al Ciudadano OSAC, las cua</w:t>
      </w:r>
      <w:r w:rsidR="00B82FA4">
        <w:rPr>
          <w:rFonts w:ascii="Antique Olive" w:hAnsi="Antique Olive" w:cs="Arial"/>
          <w:sz w:val="24"/>
          <w:szCs w:val="24"/>
        </w:rPr>
        <w:t>les se encuentran ubicadas en 16</w:t>
      </w:r>
      <w:r w:rsidRPr="000F2370">
        <w:rPr>
          <w:rFonts w:ascii="Antique Olive" w:hAnsi="Antique Olive" w:cs="Arial"/>
          <w:sz w:val="24"/>
          <w:szCs w:val="24"/>
        </w:rPr>
        <w:t xml:space="preserve"> seccionales (Atlántico, </w:t>
      </w:r>
      <w:r w:rsidR="00B82FA4">
        <w:rPr>
          <w:rFonts w:ascii="Antique Olive" w:hAnsi="Antique Olive" w:cs="Arial"/>
          <w:sz w:val="24"/>
          <w:szCs w:val="24"/>
        </w:rPr>
        <w:t xml:space="preserve">Bolivar, </w:t>
      </w:r>
      <w:r w:rsidRPr="000F2370">
        <w:rPr>
          <w:rFonts w:ascii="Antique Olive" w:hAnsi="Antique Olive" w:cs="Arial"/>
          <w:sz w:val="24"/>
          <w:szCs w:val="24"/>
        </w:rPr>
        <w:t xml:space="preserve">Boyacá, Bogotá, Caldas, </w:t>
      </w:r>
      <w:r w:rsidR="00B82FA4">
        <w:rPr>
          <w:rFonts w:ascii="Antique Olive" w:hAnsi="Antique Olive" w:cs="Arial"/>
          <w:sz w:val="24"/>
          <w:szCs w:val="24"/>
        </w:rPr>
        <w:t xml:space="preserve">Cordoba, </w:t>
      </w:r>
      <w:r w:rsidRPr="000F2370">
        <w:rPr>
          <w:rFonts w:ascii="Antique Olive" w:hAnsi="Antique Olive" w:cs="Arial"/>
          <w:sz w:val="24"/>
          <w:szCs w:val="24"/>
        </w:rPr>
        <w:t>Chocó, Huila, Medellín, Meta, Nariño, Norte de Santand</w:t>
      </w:r>
      <w:r w:rsidR="00B82FA4">
        <w:rPr>
          <w:rFonts w:ascii="Antique Olive" w:hAnsi="Antique Olive" w:cs="Arial"/>
          <w:sz w:val="24"/>
          <w:szCs w:val="24"/>
        </w:rPr>
        <w:t>er, Quindío, Risaralda, Tolima y</w:t>
      </w:r>
      <w:r w:rsidRPr="000F2370">
        <w:rPr>
          <w:rFonts w:ascii="Antique Olive" w:hAnsi="Antique Olive" w:cs="Arial"/>
          <w:sz w:val="24"/>
          <w:szCs w:val="24"/>
        </w:rPr>
        <w:t xml:space="preserve"> Sucre).</w:t>
      </w:r>
      <w:r w:rsidR="00B82FA4">
        <w:rPr>
          <w:rFonts w:ascii="Antique Olive" w:hAnsi="Antique Olive" w:cs="Arial"/>
          <w:sz w:val="24"/>
          <w:szCs w:val="24"/>
        </w:rPr>
        <w:t xml:space="preserve"> </w:t>
      </w:r>
      <w:r w:rsidR="00B34E07">
        <w:rPr>
          <w:rFonts w:ascii="Antique Olive" w:hAnsi="Antique Olive" w:cs="Arial"/>
          <w:sz w:val="24"/>
          <w:szCs w:val="24"/>
        </w:rPr>
        <w:t xml:space="preserve">Fueron trasladadas </w:t>
      </w:r>
      <w:r w:rsidR="00E16E05">
        <w:rPr>
          <w:rFonts w:ascii="Antique Olive" w:hAnsi="Antique Olive" w:cs="Arial"/>
          <w:b/>
          <w:sz w:val="24"/>
          <w:szCs w:val="24"/>
        </w:rPr>
        <w:t>7004</w:t>
      </w:r>
      <w:r w:rsidRPr="000F2370">
        <w:rPr>
          <w:rFonts w:ascii="Antique Olive" w:hAnsi="Antique Olive" w:cs="Arial"/>
          <w:sz w:val="24"/>
          <w:szCs w:val="24"/>
        </w:rPr>
        <w:t xml:space="preserve"> solicitudes </w:t>
      </w:r>
      <w:r w:rsidR="00E16E05">
        <w:rPr>
          <w:rFonts w:ascii="Antique Olive" w:hAnsi="Antique Olive" w:cs="Arial"/>
          <w:sz w:val="24"/>
          <w:szCs w:val="24"/>
        </w:rPr>
        <w:t>a otras entidades</w:t>
      </w:r>
      <w:r w:rsidRPr="000F2370">
        <w:rPr>
          <w:rFonts w:ascii="Antique Olive" w:hAnsi="Antique Olive" w:cs="Arial"/>
          <w:sz w:val="24"/>
          <w:szCs w:val="24"/>
        </w:rPr>
        <w:t xml:space="preserve"> </w:t>
      </w:r>
      <w:r w:rsidR="00B34E07">
        <w:rPr>
          <w:rFonts w:ascii="Antique Olive" w:hAnsi="Antique Olive" w:cs="Arial"/>
          <w:sz w:val="24"/>
          <w:szCs w:val="24"/>
        </w:rPr>
        <w:t xml:space="preserve">ya </w:t>
      </w:r>
      <w:r w:rsidRPr="000F2370">
        <w:rPr>
          <w:rFonts w:ascii="Antique Olive" w:hAnsi="Antique Olive" w:cs="Arial"/>
          <w:sz w:val="24"/>
          <w:szCs w:val="24"/>
        </w:rPr>
        <w:t xml:space="preserve">que la Fiscalía General de la Nación </w:t>
      </w:r>
      <w:r w:rsidR="00B34E07">
        <w:rPr>
          <w:rFonts w:ascii="Antique Olive" w:hAnsi="Antique Olive" w:cs="Arial"/>
          <w:sz w:val="24"/>
          <w:szCs w:val="24"/>
        </w:rPr>
        <w:t xml:space="preserve">no era la competente </w:t>
      </w:r>
      <w:r w:rsidRPr="000F2370">
        <w:rPr>
          <w:rFonts w:ascii="Antique Olive" w:hAnsi="Antique Olive" w:cs="Arial"/>
          <w:sz w:val="24"/>
          <w:szCs w:val="24"/>
        </w:rPr>
        <w:t>para atenderlas. Estas solicitudes fueron trasladadas a las siguientes entidades: ICBF, Defensoría del Pueblo, Comisarias de Familia, Medicina Legal e inspecciones de Policía.</w:t>
      </w:r>
    </w:p>
    <w:p w:rsidR="000F2370" w:rsidRDefault="000F2370" w:rsidP="000F2370">
      <w:pPr>
        <w:jc w:val="both"/>
        <w:rPr>
          <w:rFonts w:ascii="Antique Olive" w:hAnsi="Antique Olive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0081" w:rsidTr="00130081">
        <w:tc>
          <w:tcPr>
            <w:tcW w:w="2942" w:type="dxa"/>
          </w:tcPr>
          <w:p w:rsidR="00130081" w:rsidRDefault="00130081" w:rsidP="00130081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SECCIONAL</w:t>
            </w:r>
          </w:p>
        </w:tc>
        <w:tc>
          <w:tcPr>
            <w:tcW w:w="2943" w:type="dxa"/>
          </w:tcPr>
          <w:p w:rsidR="00130081" w:rsidRDefault="00130081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N° DE SOLICITUDES</w:t>
            </w:r>
          </w:p>
        </w:tc>
        <w:tc>
          <w:tcPr>
            <w:tcW w:w="2943" w:type="dxa"/>
          </w:tcPr>
          <w:p w:rsidR="00130081" w:rsidRDefault="00130081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PORCENTAJE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Atlantico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120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2%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Bogotá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3767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52%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Bolivar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Boyacá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372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5%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Caldas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652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9%</w:t>
            </w:r>
          </w:p>
        </w:tc>
      </w:tr>
      <w:tr w:rsidR="007C0BCB" w:rsidTr="00130081">
        <w:tc>
          <w:tcPr>
            <w:tcW w:w="2942" w:type="dxa"/>
          </w:tcPr>
          <w:p w:rsidR="007C0BCB" w:rsidRDefault="007C0BCB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Córdoba</w:t>
            </w:r>
          </w:p>
        </w:tc>
        <w:tc>
          <w:tcPr>
            <w:tcW w:w="2943" w:type="dxa"/>
          </w:tcPr>
          <w:p w:rsidR="007C0BCB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7C0BCB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Chocó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65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Huila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682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9%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Medellín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Nariño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266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4%</w:t>
            </w:r>
          </w:p>
        </w:tc>
      </w:tr>
      <w:tr w:rsidR="00130081" w:rsidTr="00130081">
        <w:tc>
          <w:tcPr>
            <w:tcW w:w="2942" w:type="dxa"/>
          </w:tcPr>
          <w:p w:rsidR="00130081" w:rsidRDefault="0013008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Norte de Santander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14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130081" w:rsidTr="00130081">
        <w:tc>
          <w:tcPr>
            <w:tcW w:w="2942" w:type="dxa"/>
          </w:tcPr>
          <w:p w:rsidR="00130081" w:rsidRDefault="007C0BCB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Risaralda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1248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17%</w:t>
            </w:r>
          </w:p>
        </w:tc>
      </w:tr>
      <w:tr w:rsidR="00130081" w:rsidTr="00130081">
        <w:tc>
          <w:tcPr>
            <w:tcW w:w="2942" w:type="dxa"/>
          </w:tcPr>
          <w:p w:rsidR="00130081" w:rsidRDefault="007C0BCB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Quindío</w:t>
            </w:r>
          </w:p>
        </w:tc>
        <w:tc>
          <w:tcPr>
            <w:tcW w:w="2943" w:type="dxa"/>
          </w:tcPr>
          <w:p w:rsidR="00130081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130081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7C0BCB" w:rsidTr="00130081">
        <w:tc>
          <w:tcPr>
            <w:tcW w:w="2942" w:type="dxa"/>
          </w:tcPr>
          <w:p w:rsidR="007C0BCB" w:rsidRDefault="007C0BCB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Tolima</w:t>
            </w:r>
          </w:p>
        </w:tc>
        <w:tc>
          <w:tcPr>
            <w:tcW w:w="2943" w:type="dxa"/>
          </w:tcPr>
          <w:p w:rsidR="007C0BCB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7C0BCB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7C0BCB" w:rsidTr="00130081">
        <w:tc>
          <w:tcPr>
            <w:tcW w:w="2942" w:type="dxa"/>
          </w:tcPr>
          <w:p w:rsidR="007C0BCB" w:rsidRDefault="007C0BCB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Sucre</w:t>
            </w:r>
          </w:p>
        </w:tc>
        <w:tc>
          <w:tcPr>
            <w:tcW w:w="2943" w:type="dxa"/>
          </w:tcPr>
          <w:p w:rsidR="007C0BCB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11</w:t>
            </w:r>
          </w:p>
        </w:tc>
        <w:tc>
          <w:tcPr>
            <w:tcW w:w="2943" w:type="dxa"/>
          </w:tcPr>
          <w:p w:rsidR="007C0BCB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7C0BCB" w:rsidTr="00130081">
        <w:tc>
          <w:tcPr>
            <w:tcW w:w="2942" w:type="dxa"/>
          </w:tcPr>
          <w:p w:rsidR="007C0BCB" w:rsidRDefault="007C0BCB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Meta</w:t>
            </w:r>
          </w:p>
        </w:tc>
        <w:tc>
          <w:tcPr>
            <w:tcW w:w="2943" w:type="dxa"/>
          </w:tcPr>
          <w:p w:rsidR="007C0BCB" w:rsidRDefault="007C0BCB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</w:t>
            </w:r>
          </w:p>
        </w:tc>
        <w:tc>
          <w:tcPr>
            <w:tcW w:w="2943" w:type="dxa"/>
          </w:tcPr>
          <w:p w:rsidR="007C0BCB" w:rsidRDefault="00C174A3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0%</w:t>
            </w:r>
          </w:p>
        </w:tc>
      </w:tr>
      <w:tr w:rsidR="004E6B51" w:rsidTr="00130081">
        <w:tc>
          <w:tcPr>
            <w:tcW w:w="2942" w:type="dxa"/>
          </w:tcPr>
          <w:p w:rsidR="004E6B51" w:rsidRDefault="004E6B51" w:rsidP="000F2370">
            <w:pPr>
              <w:jc w:val="both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TOTAL</w:t>
            </w:r>
          </w:p>
        </w:tc>
        <w:tc>
          <w:tcPr>
            <w:tcW w:w="2943" w:type="dxa"/>
          </w:tcPr>
          <w:p w:rsidR="004E6B51" w:rsidRDefault="004E6B51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7.199</w:t>
            </w:r>
          </w:p>
        </w:tc>
        <w:tc>
          <w:tcPr>
            <w:tcW w:w="2943" w:type="dxa"/>
          </w:tcPr>
          <w:p w:rsidR="004E6B51" w:rsidRDefault="004E6B51" w:rsidP="007C0BCB">
            <w:pPr>
              <w:jc w:val="center"/>
              <w:rPr>
                <w:rFonts w:ascii="Antique Olive" w:hAnsi="Antique Olive" w:cs="Arial"/>
                <w:sz w:val="24"/>
                <w:szCs w:val="24"/>
              </w:rPr>
            </w:pPr>
            <w:r>
              <w:rPr>
                <w:rFonts w:ascii="Antique Olive" w:hAnsi="Antique Olive" w:cs="Arial"/>
                <w:sz w:val="24"/>
                <w:szCs w:val="24"/>
              </w:rPr>
              <w:t>100%</w:t>
            </w:r>
          </w:p>
        </w:tc>
      </w:tr>
    </w:tbl>
    <w:p w:rsidR="00130081" w:rsidRPr="000F2370" w:rsidRDefault="00130081" w:rsidP="000F2370">
      <w:pPr>
        <w:jc w:val="both"/>
        <w:rPr>
          <w:rFonts w:ascii="Antique Olive" w:hAnsi="Antique Olive" w:cs="Arial"/>
          <w:sz w:val="24"/>
          <w:szCs w:val="24"/>
        </w:rPr>
      </w:pPr>
    </w:p>
    <w:p w:rsidR="000F2370" w:rsidRPr="000F2370" w:rsidRDefault="00B34E07" w:rsidP="000F2370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 xml:space="preserve">De lo anterior se evidencia que, la Dirección Seccional Bogotá fue la que traslado mayor cantidad de solicitudes, con un total de 3.767, correspondiente al 52% del total de los traslados desde las Oficinas de Servicio al Ciudadano OSAC. </w:t>
      </w:r>
    </w:p>
    <w:p w:rsidR="000F2370" w:rsidRDefault="000F2370" w:rsidP="00BA16CF">
      <w:pPr>
        <w:jc w:val="both"/>
      </w:pPr>
    </w:p>
    <w:p w:rsidR="000F2370" w:rsidRDefault="000F2370" w:rsidP="00BA16CF">
      <w:pPr>
        <w:jc w:val="both"/>
      </w:pPr>
    </w:p>
    <w:p w:rsidR="004E6B51" w:rsidRDefault="004E6B51" w:rsidP="00BA16CF">
      <w:pPr>
        <w:jc w:val="both"/>
      </w:pPr>
    </w:p>
    <w:p w:rsidR="004E6B51" w:rsidRDefault="004E6B51" w:rsidP="00BA16CF">
      <w:pPr>
        <w:jc w:val="both"/>
      </w:pPr>
    </w:p>
    <w:p w:rsidR="004E6B51" w:rsidRDefault="004E6B51" w:rsidP="00BA16CF">
      <w:pPr>
        <w:jc w:val="both"/>
      </w:pPr>
    </w:p>
    <w:p w:rsidR="004E6B51" w:rsidRDefault="004E6B51" w:rsidP="00BA16CF">
      <w:pPr>
        <w:jc w:val="both"/>
      </w:pPr>
    </w:p>
    <w:p w:rsidR="004E6B51" w:rsidRDefault="004E6B51" w:rsidP="00BA16CF">
      <w:pPr>
        <w:jc w:val="both"/>
      </w:pPr>
    </w:p>
    <w:p w:rsidR="004E6B51" w:rsidRDefault="004E6B51" w:rsidP="00BA16CF">
      <w:pPr>
        <w:jc w:val="both"/>
      </w:pPr>
    </w:p>
    <w:p w:rsidR="000F2370" w:rsidRDefault="00822010" w:rsidP="00BA16CF">
      <w:pPr>
        <w:jc w:val="both"/>
      </w:pPr>
      <w:r>
        <w:rPr>
          <w:noProof/>
          <w:lang w:val="es-CO" w:eastAsia="es-CO"/>
        </w:rPr>
        <w:drawing>
          <wp:inline distT="0" distB="0" distL="0" distR="0" wp14:anchorId="647B414C" wp14:editId="0B4786EE">
            <wp:extent cx="5925820" cy="26765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9060" cy="267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010" w:rsidRDefault="00822010" w:rsidP="000F2370"/>
    <w:p w:rsidR="000F2370" w:rsidRDefault="000F2370" w:rsidP="000F2370"/>
    <w:p w:rsidR="004E6B51" w:rsidRDefault="004E6B51" w:rsidP="000F2370"/>
    <w:p w:rsidR="000F2370" w:rsidRDefault="000F2370" w:rsidP="000F2370">
      <w:pPr>
        <w:jc w:val="both"/>
        <w:rPr>
          <w:rFonts w:ascii="Antique Olive" w:hAnsi="Antique Olive" w:cs="Arial"/>
          <w:color w:val="000000"/>
          <w:sz w:val="24"/>
          <w:szCs w:val="24"/>
          <w:lang w:eastAsia="es-CO"/>
        </w:rPr>
      </w:pPr>
      <w:r w:rsidRPr="000F2370">
        <w:rPr>
          <w:rFonts w:ascii="Antique Olive" w:hAnsi="Antique Olive" w:cs="Arial"/>
          <w:sz w:val="24"/>
          <w:szCs w:val="24"/>
        </w:rPr>
        <w:t>De igual manera</w:t>
      </w:r>
      <w:r w:rsidR="00B34E07">
        <w:rPr>
          <w:rFonts w:ascii="Antique Olive" w:hAnsi="Antique Olive" w:cs="Arial"/>
          <w:sz w:val="24"/>
          <w:szCs w:val="24"/>
        </w:rPr>
        <w:t>, en el II semestre de 2018 se registraron en el SPOA</w:t>
      </w:r>
      <w:r w:rsidRPr="000F2370">
        <w:rPr>
          <w:rFonts w:ascii="Antique Olive" w:hAnsi="Antique Olive" w:cs="Arial"/>
          <w:sz w:val="24"/>
          <w:szCs w:val="24"/>
        </w:rPr>
        <w:t xml:space="preserve"> un total de </w:t>
      </w:r>
      <w:r w:rsidR="00D076AB">
        <w:rPr>
          <w:rFonts w:ascii="Antique Olive" w:hAnsi="Antique Olive" w:cs="Arial"/>
          <w:b/>
          <w:color w:val="000000"/>
          <w:sz w:val="24"/>
          <w:szCs w:val="24"/>
          <w:lang w:eastAsia="es-CO"/>
        </w:rPr>
        <w:t>6.900</w:t>
      </w:r>
      <w:r w:rsidRPr="000F2370">
        <w:rPr>
          <w:rFonts w:ascii="Antique Olive" w:hAnsi="Antique Olive" w:cs="Arial"/>
          <w:b/>
          <w:color w:val="000000"/>
          <w:sz w:val="24"/>
          <w:szCs w:val="24"/>
          <w:lang w:eastAsia="es-CO"/>
        </w:rPr>
        <w:t xml:space="preserve"> </w:t>
      </w:r>
      <w:r w:rsidRPr="000F2370">
        <w:rPr>
          <w:rFonts w:ascii="Antique Olive" w:hAnsi="Antique Olive" w:cs="Arial"/>
          <w:color w:val="000000"/>
          <w:sz w:val="24"/>
          <w:szCs w:val="24"/>
          <w:lang w:eastAsia="es-CO"/>
        </w:rPr>
        <w:t>actuaciones de salida a otras entidades</w:t>
      </w:r>
      <w:r w:rsidRPr="000F2370">
        <w:rPr>
          <w:rFonts w:ascii="Antique Olive" w:hAnsi="Antique Olive" w:cs="Arial"/>
          <w:sz w:val="24"/>
          <w:szCs w:val="24"/>
        </w:rPr>
        <w:t xml:space="preserve">, tales como </w:t>
      </w:r>
      <w:r w:rsidR="004E6426">
        <w:rPr>
          <w:rFonts w:ascii="Antique Olive" w:hAnsi="Antique Olive" w:cs="Arial"/>
          <w:sz w:val="24"/>
          <w:szCs w:val="24"/>
        </w:rPr>
        <w:t xml:space="preserve">el </w:t>
      </w:r>
      <w:r w:rsidRPr="000F2370">
        <w:rPr>
          <w:rFonts w:ascii="Antique Olive" w:hAnsi="Antique Olive" w:cs="Arial"/>
          <w:sz w:val="24"/>
          <w:szCs w:val="24"/>
        </w:rPr>
        <w:t xml:space="preserve">Congreso de la República, </w:t>
      </w:r>
      <w:r w:rsidR="004E6426">
        <w:rPr>
          <w:rFonts w:ascii="Antique Olive" w:hAnsi="Antique Olive" w:cs="Arial"/>
          <w:sz w:val="24"/>
          <w:szCs w:val="24"/>
        </w:rPr>
        <w:t xml:space="preserve">la </w:t>
      </w:r>
      <w:r w:rsidRPr="000F2370">
        <w:rPr>
          <w:rFonts w:ascii="Antique Olive" w:hAnsi="Antique Olive" w:cs="Arial"/>
          <w:sz w:val="24"/>
          <w:szCs w:val="24"/>
        </w:rPr>
        <w:t>Corte</w:t>
      </w:r>
      <w:r w:rsidR="004E6426">
        <w:rPr>
          <w:rFonts w:ascii="Antique Olive" w:hAnsi="Antique Olive" w:cs="Arial"/>
          <w:sz w:val="24"/>
          <w:szCs w:val="24"/>
        </w:rPr>
        <w:t xml:space="preserve"> Suprema de Justicia, Inspecciones</w:t>
      </w:r>
      <w:r w:rsidRPr="000F2370">
        <w:rPr>
          <w:rFonts w:ascii="Antique Olive" w:hAnsi="Antique Olive" w:cs="Arial"/>
          <w:sz w:val="24"/>
          <w:szCs w:val="24"/>
        </w:rPr>
        <w:t xml:space="preserve"> de Policía,</w:t>
      </w:r>
      <w:r w:rsidR="004E6426">
        <w:rPr>
          <w:rFonts w:ascii="Antique Olive" w:hAnsi="Antique Olive" w:cs="Arial"/>
          <w:sz w:val="24"/>
          <w:szCs w:val="24"/>
        </w:rPr>
        <w:t xml:space="preserve"> Justicia Ordinaria, </w:t>
      </w:r>
      <w:r w:rsidRPr="000F2370">
        <w:rPr>
          <w:rFonts w:ascii="Antique Olive" w:hAnsi="Antique Olive" w:cs="Arial"/>
          <w:sz w:val="24"/>
          <w:szCs w:val="24"/>
        </w:rPr>
        <w:t>Just</w:t>
      </w:r>
      <w:r w:rsidR="004E6426">
        <w:rPr>
          <w:rFonts w:ascii="Antique Olive" w:hAnsi="Antique Olive" w:cs="Arial"/>
          <w:sz w:val="24"/>
          <w:szCs w:val="24"/>
        </w:rPr>
        <w:t>icia Penal Militar, de la cuales</w:t>
      </w:r>
      <w:r w:rsidRPr="000F2370">
        <w:rPr>
          <w:rFonts w:ascii="Antique Olive" w:hAnsi="Antique Olive" w:cs="Arial"/>
          <w:sz w:val="24"/>
          <w:szCs w:val="24"/>
        </w:rPr>
        <w:t xml:space="preserve"> la mayor cantidad de salidas se efectuaron a Inspecciones de </w:t>
      </w:r>
      <w:r w:rsidR="006953BA" w:rsidRPr="000F2370">
        <w:rPr>
          <w:rFonts w:ascii="Antique Olive" w:hAnsi="Antique Olive" w:cs="Arial"/>
          <w:sz w:val="24"/>
          <w:szCs w:val="24"/>
        </w:rPr>
        <w:t>Policía</w:t>
      </w:r>
      <w:r w:rsidR="006953BA">
        <w:rPr>
          <w:rFonts w:ascii="Antique Olive" w:hAnsi="Antique Olive" w:cs="Arial"/>
          <w:sz w:val="24"/>
          <w:szCs w:val="24"/>
        </w:rPr>
        <w:t xml:space="preserve"> con un total de 3.780</w:t>
      </w:r>
      <w:r w:rsidR="004E6426">
        <w:rPr>
          <w:rFonts w:ascii="Antique Olive" w:hAnsi="Antique Olive" w:cs="Arial"/>
          <w:sz w:val="24"/>
          <w:szCs w:val="24"/>
        </w:rPr>
        <w:t xml:space="preserve"> correspondiente al 55 % de las actuaciones de salida</w:t>
      </w:r>
      <w:r w:rsidRPr="000F2370">
        <w:rPr>
          <w:rFonts w:ascii="Antique Olive" w:hAnsi="Antique Olive" w:cs="Arial"/>
          <w:sz w:val="24"/>
          <w:szCs w:val="24"/>
        </w:rPr>
        <w:t>.</w:t>
      </w:r>
      <w:r w:rsidRPr="000F2370">
        <w:rPr>
          <w:rFonts w:ascii="Antique Olive" w:hAnsi="Antique Olive" w:cs="Arial"/>
          <w:color w:val="000000"/>
          <w:sz w:val="24"/>
          <w:szCs w:val="24"/>
          <w:lang w:eastAsia="es-CO"/>
        </w:rPr>
        <w:t xml:space="preserve"> </w:t>
      </w:r>
    </w:p>
    <w:p w:rsidR="007373C4" w:rsidRDefault="007373C4" w:rsidP="000F2370">
      <w:pPr>
        <w:jc w:val="both"/>
        <w:rPr>
          <w:rFonts w:ascii="Antique Olive" w:hAnsi="Antique Olive" w:cs="Arial"/>
          <w:color w:val="000000"/>
          <w:sz w:val="24"/>
          <w:szCs w:val="24"/>
          <w:lang w:eastAsia="es-CO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1984"/>
        <w:gridCol w:w="2268"/>
      </w:tblGrid>
      <w:tr w:rsidR="006953BA" w:rsidTr="00130081">
        <w:tc>
          <w:tcPr>
            <w:tcW w:w="4820" w:type="dxa"/>
            <w:shd w:val="clear" w:color="auto" w:fill="F4B083" w:themeFill="accent2" w:themeFillTint="99"/>
          </w:tcPr>
          <w:p w:rsidR="006953BA" w:rsidRDefault="006953BA" w:rsidP="007373C4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ACTUACIONES DE SALIDA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6953BA" w:rsidRDefault="006953BA" w:rsidP="007373C4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CANTIDAD DE NOTICIAS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6953BA" w:rsidRDefault="006953BA" w:rsidP="00130081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 xml:space="preserve">PORCENTAJE 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a inspección de Policía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3.780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55%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a otra Autoridad (fuera de la Fiscalia)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2.036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30%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a justicia penal militar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713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10%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a corte suprema de justicia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163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querella por competencia fuera de la Fiscalía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47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a juez de menores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45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de ley 1098 de 2006 a jurisdicción administrativa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41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a jueces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34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0%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a congreso de la republica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33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0%</w:t>
            </w:r>
          </w:p>
        </w:tc>
      </w:tr>
      <w:tr w:rsidR="006953BA" w:rsidTr="00130081">
        <w:tc>
          <w:tcPr>
            <w:tcW w:w="4820" w:type="dxa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Sale de la ley 906 a la ley 1153 (pequeñas causas)</w:t>
            </w:r>
          </w:p>
        </w:tc>
        <w:tc>
          <w:tcPr>
            <w:tcW w:w="1984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2268" w:type="dxa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0%</w:t>
            </w:r>
          </w:p>
        </w:tc>
      </w:tr>
      <w:tr w:rsidR="006953BA" w:rsidTr="00130081">
        <w:tc>
          <w:tcPr>
            <w:tcW w:w="4820" w:type="dxa"/>
            <w:shd w:val="clear" w:color="auto" w:fill="F4B083" w:themeFill="accent2" w:themeFillTint="99"/>
          </w:tcPr>
          <w:p w:rsidR="006953BA" w:rsidRDefault="006953BA" w:rsidP="000F2370">
            <w:pPr>
              <w:jc w:val="both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Total general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6.900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6953BA" w:rsidRDefault="006953BA" w:rsidP="00D076AB">
            <w:pPr>
              <w:jc w:val="center"/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ntique Olive" w:hAnsi="Antique Olive" w:cs="Arial"/>
                <w:color w:val="000000"/>
                <w:sz w:val="24"/>
                <w:szCs w:val="24"/>
                <w:lang w:eastAsia="es-CO"/>
              </w:rPr>
              <w:t>100%</w:t>
            </w:r>
          </w:p>
        </w:tc>
      </w:tr>
    </w:tbl>
    <w:p w:rsidR="007373C4" w:rsidRDefault="007373C4" w:rsidP="000F2370">
      <w:pPr>
        <w:jc w:val="both"/>
        <w:rPr>
          <w:rFonts w:ascii="Antique Olive" w:hAnsi="Antique Olive" w:cs="Arial"/>
          <w:color w:val="000000"/>
          <w:sz w:val="24"/>
          <w:szCs w:val="24"/>
          <w:lang w:eastAsia="es-CO"/>
        </w:rPr>
      </w:pPr>
    </w:p>
    <w:p w:rsidR="007373C4" w:rsidRPr="000F2370" w:rsidRDefault="007373C4" w:rsidP="000F2370">
      <w:pPr>
        <w:jc w:val="both"/>
        <w:rPr>
          <w:rFonts w:ascii="Antique Olive" w:hAnsi="Antique Olive" w:cs="Arial"/>
          <w:color w:val="000000"/>
          <w:sz w:val="24"/>
          <w:szCs w:val="24"/>
          <w:lang w:eastAsia="es-CO"/>
        </w:rPr>
      </w:pPr>
    </w:p>
    <w:p w:rsidR="000F2370" w:rsidRDefault="000F2370" w:rsidP="000F2370"/>
    <w:p w:rsidR="007373C4" w:rsidRDefault="006953BA" w:rsidP="006953BA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20F05908" wp14:editId="04685D17">
            <wp:extent cx="5819775" cy="301722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6372" cy="302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3C4" w:rsidRDefault="007373C4" w:rsidP="000F2370"/>
    <w:p w:rsidR="009102D9" w:rsidRDefault="009102D9" w:rsidP="000F2370"/>
    <w:p w:rsidR="007373C4" w:rsidRDefault="007373C4" w:rsidP="009102D9"/>
    <w:p w:rsidR="007373C4" w:rsidRDefault="007373C4" w:rsidP="009102D9"/>
    <w:p w:rsidR="007373C4" w:rsidRDefault="007373C4" w:rsidP="009102D9"/>
    <w:p w:rsidR="007373C4" w:rsidRDefault="007373C4" w:rsidP="009102D9"/>
    <w:p w:rsidR="009102D9" w:rsidRPr="009102D9" w:rsidRDefault="009102D9" w:rsidP="009102D9">
      <w:pPr>
        <w:pStyle w:val="Prrafodelista"/>
        <w:numPr>
          <w:ilvl w:val="0"/>
          <w:numId w:val="2"/>
        </w:numPr>
        <w:spacing w:after="160" w:line="259" w:lineRule="auto"/>
        <w:contextualSpacing/>
        <w:jc w:val="both"/>
        <w:rPr>
          <w:rFonts w:ascii="Antique Olive" w:hAnsi="Antique Olive" w:cs="Arial"/>
          <w:b/>
          <w:sz w:val="24"/>
          <w:szCs w:val="24"/>
        </w:rPr>
      </w:pPr>
      <w:r w:rsidRPr="009102D9">
        <w:rPr>
          <w:rFonts w:ascii="Antique Olive" w:hAnsi="Antique Olive" w:cs="Arial"/>
          <w:b/>
          <w:sz w:val="24"/>
          <w:szCs w:val="24"/>
        </w:rPr>
        <w:t>Tiempo de respuesta a cada solicitud:</w:t>
      </w:r>
    </w:p>
    <w:p w:rsidR="009102D9" w:rsidRPr="009102D9" w:rsidRDefault="009102D9" w:rsidP="009102D9">
      <w:pPr>
        <w:jc w:val="both"/>
        <w:rPr>
          <w:rFonts w:ascii="Antique Olive" w:hAnsi="Antique Olive" w:cs="Arial"/>
          <w:sz w:val="24"/>
          <w:szCs w:val="24"/>
        </w:rPr>
      </w:pPr>
      <w:r w:rsidRPr="009102D9">
        <w:rPr>
          <w:rFonts w:ascii="Antique Olive" w:hAnsi="Antique Olive" w:cs="Arial"/>
          <w:sz w:val="24"/>
          <w:szCs w:val="24"/>
        </w:rPr>
        <w:t>El tiempo de respuesta a las solicitudes de acceso a la información pública, se enmarca de acuerdo con lo establecido en la normatividad legal vigente, esto teniendo en cuenta que la mayor cantidad de solicitudes de este tipo son allegadas a la entidad a través de los canales</w:t>
      </w:r>
      <w:r w:rsidR="004E6426">
        <w:rPr>
          <w:rFonts w:ascii="Antique Olive" w:hAnsi="Antique Olive" w:cs="Arial"/>
          <w:sz w:val="24"/>
          <w:szCs w:val="24"/>
        </w:rPr>
        <w:t xml:space="preserve"> para la prestación de PQRS</w:t>
      </w:r>
      <w:r w:rsidRPr="009102D9">
        <w:rPr>
          <w:rFonts w:ascii="Antique Olive" w:hAnsi="Antique Olive" w:cs="Arial"/>
          <w:sz w:val="24"/>
          <w:szCs w:val="24"/>
        </w:rPr>
        <w:t>,</w:t>
      </w:r>
      <w:r w:rsidR="004E6426">
        <w:rPr>
          <w:rFonts w:ascii="Antique Olive" w:hAnsi="Antique Olive" w:cs="Arial"/>
          <w:sz w:val="24"/>
          <w:szCs w:val="24"/>
        </w:rPr>
        <w:t xml:space="preserve"> (presencial, virtual(página web), Buzón PQRS, telefónico(centro de contacto) </w:t>
      </w:r>
      <w:r w:rsidRPr="009102D9">
        <w:rPr>
          <w:rFonts w:ascii="Antique Olive" w:hAnsi="Antique Olive" w:cs="Arial"/>
          <w:sz w:val="24"/>
          <w:szCs w:val="24"/>
        </w:rPr>
        <w:t xml:space="preserve"> tal com</w:t>
      </w:r>
      <w:r w:rsidR="004E6B51">
        <w:rPr>
          <w:rFonts w:ascii="Antique Olive" w:hAnsi="Antique Olive" w:cs="Arial"/>
          <w:sz w:val="24"/>
          <w:szCs w:val="24"/>
        </w:rPr>
        <w:t>o se plasmó en el</w:t>
      </w:r>
      <w:r w:rsidR="004E6426">
        <w:rPr>
          <w:rFonts w:ascii="Antique Olive" w:hAnsi="Antique Olive" w:cs="Arial"/>
          <w:sz w:val="24"/>
          <w:szCs w:val="24"/>
        </w:rPr>
        <w:t xml:space="preserve"> último</w:t>
      </w:r>
      <w:r w:rsidR="004E6B51">
        <w:rPr>
          <w:rFonts w:ascii="Antique Olive" w:hAnsi="Antique Olive" w:cs="Arial"/>
          <w:sz w:val="24"/>
          <w:szCs w:val="24"/>
        </w:rPr>
        <w:t xml:space="preserve"> informe </w:t>
      </w:r>
      <w:r w:rsidR="004E6426">
        <w:rPr>
          <w:rFonts w:ascii="Antique Olive" w:hAnsi="Antique Olive" w:cs="Arial"/>
          <w:sz w:val="24"/>
          <w:szCs w:val="24"/>
        </w:rPr>
        <w:t xml:space="preserve">de PQRS, el cual fue construido con base en los datos reportados por las seccionales y dependencias de la entidad. </w:t>
      </w:r>
    </w:p>
    <w:p w:rsidR="009102D9" w:rsidRDefault="009102D9" w:rsidP="009102D9"/>
    <w:p w:rsidR="000F2370" w:rsidRDefault="000F2370" w:rsidP="009102D9">
      <w:pPr>
        <w:ind w:firstLine="708"/>
      </w:pPr>
    </w:p>
    <w:p w:rsidR="009102D9" w:rsidRDefault="009102D9" w:rsidP="009102D9">
      <w:pPr>
        <w:ind w:firstLine="708"/>
      </w:pPr>
    </w:p>
    <w:p w:rsidR="009102D9" w:rsidRDefault="009102D9" w:rsidP="009102D9">
      <w:pPr>
        <w:ind w:firstLine="708"/>
      </w:pPr>
    </w:p>
    <w:p w:rsidR="009102D9" w:rsidRPr="009102D9" w:rsidRDefault="009102D9" w:rsidP="009102D9">
      <w:pPr>
        <w:ind w:firstLine="708"/>
        <w:rPr>
          <w:rFonts w:ascii="Antique Olive" w:hAnsi="Antique Olive"/>
          <w:sz w:val="24"/>
          <w:szCs w:val="24"/>
        </w:rPr>
      </w:pPr>
    </w:p>
    <w:p w:rsidR="009102D9" w:rsidRPr="009102D9" w:rsidRDefault="009102D9" w:rsidP="009102D9">
      <w:pPr>
        <w:ind w:firstLine="708"/>
        <w:rPr>
          <w:rFonts w:ascii="Antique Olive" w:hAnsi="Antique Olive"/>
          <w:sz w:val="24"/>
          <w:szCs w:val="24"/>
        </w:rPr>
      </w:pPr>
    </w:p>
    <w:p w:rsidR="009102D9" w:rsidRPr="004E6B51" w:rsidRDefault="009102D9" w:rsidP="004E6B51">
      <w:pPr>
        <w:pStyle w:val="Prrafodelista"/>
        <w:numPr>
          <w:ilvl w:val="0"/>
          <w:numId w:val="2"/>
        </w:numPr>
        <w:jc w:val="both"/>
        <w:rPr>
          <w:rFonts w:ascii="Antique Olive" w:hAnsi="Antique Olive" w:cs="Arial"/>
          <w:sz w:val="24"/>
          <w:szCs w:val="24"/>
        </w:rPr>
      </w:pPr>
      <w:r w:rsidRPr="004E6B51">
        <w:rPr>
          <w:rFonts w:ascii="Antique Olive" w:hAnsi="Antique Olive" w:cs="Arial"/>
          <w:b/>
          <w:sz w:val="24"/>
          <w:szCs w:val="24"/>
        </w:rPr>
        <w:t>Negación de Información reservada :</w:t>
      </w:r>
    </w:p>
    <w:p w:rsidR="009102D9" w:rsidRPr="009102D9" w:rsidRDefault="009102D9" w:rsidP="009102D9">
      <w:pPr>
        <w:ind w:left="720"/>
        <w:jc w:val="both"/>
        <w:rPr>
          <w:rFonts w:ascii="Antique Olive" w:hAnsi="Antique Olive" w:cs="Arial"/>
          <w:sz w:val="24"/>
          <w:szCs w:val="24"/>
        </w:rPr>
      </w:pPr>
    </w:p>
    <w:p w:rsidR="009102D9" w:rsidRPr="009102D9" w:rsidRDefault="001964CD" w:rsidP="009102D9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 xml:space="preserve">Para este </w:t>
      </w:r>
      <w:proofErr w:type="gramStart"/>
      <w:r>
        <w:rPr>
          <w:rFonts w:ascii="Antique Olive" w:hAnsi="Antique Olive" w:cs="Arial"/>
          <w:sz w:val="24"/>
          <w:szCs w:val="24"/>
        </w:rPr>
        <w:t xml:space="preserve">semestre </w:t>
      </w:r>
      <w:r w:rsidR="004E6426">
        <w:rPr>
          <w:rFonts w:ascii="Antique Olive" w:hAnsi="Antique Olive" w:cs="Arial"/>
          <w:sz w:val="24"/>
          <w:szCs w:val="24"/>
        </w:rPr>
        <w:t xml:space="preserve"> </w:t>
      </w:r>
      <w:r>
        <w:rPr>
          <w:rFonts w:ascii="Antique Olive" w:hAnsi="Antique Olive" w:cs="Arial"/>
          <w:sz w:val="24"/>
          <w:szCs w:val="24"/>
        </w:rPr>
        <w:t>6</w:t>
      </w:r>
      <w:proofErr w:type="gramEnd"/>
      <w:r w:rsidR="004E6426">
        <w:rPr>
          <w:rFonts w:ascii="Antique Olive" w:hAnsi="Antique Olive" w:cs="Arial"/>
          <w:sz w:val="24"/>
          <w:szCs w:val="24"/>
        </w:rPr>
        <w:t xml:space="preserve"> Direcciones Seccionales</w:t>
      </w:r>
      <w:r w:rsidR="00A30F05">
        <w:rPr>
          <w:rFonts w:ascii="Antique Olive" w:hAnsi="Antique Olive" w:cs="Arial"/>
          <w:sz w:val="24"/>
          <w:szCs w:val="24"/>
        </w:rPr>
        <w:t xml:space="preserve"> reportaron que se negó el acceso a la información por estar </w:t>
      </w:r>
      <w:r w:rsidR="009102D9" w:rsidRPr="009102D9">
        <w:rPr>
          <w:rFonts w:ascii="Antique Olive" w:hAnsi="Antique Olive" w:cs="Arial"/>
          <w:sz w:val="24"/>
          <w:szCs w:val="24"/>
        </w:rPr>
        <w:t xml:space="preserve">amparada bajo la reserva legal: </w:t>
      </w:r>
    </w:p>
    <w:p w:rsidR="009102D9" w:rsidRPr="009102D9" w:rsidRDefault="009102D9" w:rsidP="009102D9">
      <w:pPr>
        <w:jc w:val="both"/>
        <w:rPr>
          <w:rFonts w:ascii="Antique Olive" w:hAnsi="Antique Olive" w:cs="Arial"/>
          <w:color w:val="FF0000"/>
          <w:sz w:val="24"/>
          <w:szCs w:val="24"/>
        </w:rPr>
      </w:pPr>
    </w:p>
    <w:tbl>
      <w:tblPr>
        <w:tblW w:w="8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9"/>
        <w:gridCol w:w="2860"/>
      </w:tblGrid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9102D9" w:rsidRPr="009102D9" w:rsidRDefault="009102D9" w:rsidP="00566CE8">
            <w:pPr>
              <w:rPr>
                <w:rFonts w:ascii="Antique Olive" w:hAnsi="Antique Olive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102D9">
              <w:rPr>
                <w:rFonts w:ascii="Antique Olive" w:hAnsi="Antique Olive"/>
                <w:b/>
                <w:bCs/>
                <w:color w:val="FFFFFF"/>
                <w:sz w:val="24"/>
                <w:szCs w:val="24"/>
                <w:lang w:val="es-CO" w:eastAsia="es-CO"/>
              </w:rPr>
              <w:t xml:space="preserve">SECCIONALES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9102D9" w:rsidRPr="009102D9" w:rsidRDefault="009102D9" w:rsidP="00566CE8">
            <w:pPr>
              <w:rPr>
                <w:rFonts w:ascii="Antique Olive" w:hAnsi="Antique Olive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102D9">
              <w:rPr>
                <w:rFonts w:ascii="Antique Olive" w:hAnsi="Antique Olive"/>
                <w:b/>
                <w:bCs/>
                <w:color w:val="FFFFFF"/>
                <w:sz w:val="24"/>
                <w:szCs w:val="24"/>
                <w:lang w:val="es-CO" w:eastAsia="es-CO"/>
              </w:rPr>
              <w:t>N° DE SOLICITUDES NEGADAS</w:t>
            </w:r>
          </w:p>
        </w:tc>
      </w:tr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02D9" w:rsidRPr="009102D9" w:rsidRDefault="00A30F05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ATLÁ</w:t>
            </w:r>
            <w:r w:rsidR="009102D9" w:rsidRPr="009102D9"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NTICO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D9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3</w:t>
            </w:r>
          </w:p>
        </w:tc>
      </w:tr>
      <w:tr w:rsidR="006600D0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0D0" w:rsidRPr="009102D9" w:rsidRDefault="006600D0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ANTIOQUIA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0D0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3</w:t>
            </w:r>
          </w:p>
        </w:tc>
      </w:tr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2D9" w:rsidRPr="009102D9" w:rsidRDefault="00A30F05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BOYACÁ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9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4</w:t>
            </w:r>
          </w:p>
        </w:tc>
      </w:tr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02D9" w:rsidRPr="009102D9" w:rsidRDefault="009102D9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 w:rsidRPr="009102D9"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CALI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D9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</w:tr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02D9" w:rsidRPr="009102D9" w:rsidRDefault="006600D0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CAUCA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D9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</w:tr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02D9" w:rsidRPr="009102D9" w:rsidRDefault="006600D0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HUILA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D9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3</w:t>
            </w:r>
          </w:p>
        </w:tc>
      </w:tr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02D9" w:rsidRPr="009102D9" w:rsidRDefault="006600D0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DELEGADA PARA LAS FINANAZAS CRIMINALES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D9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10</w:t>
            </w:r>
          </w:p>
        </w:tc>
      </w:tr>
      <w:tr w:rsidR="006600D0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0D0" w:rsidRDefault="006600D0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DIRECCIÓN ESPECIALIZADA CONTRA LA CORRUPCIÓN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0D0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6</w:t>
            </w:r>
          </w:p>
        </w:tc>
      </w:tr>
      <w:tr w:rsidR="006600D0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0D0" w:rsidRDefault="006600D0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DIRECCIÓN DE POLITICAS Y ESTRATEGIA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0D0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5</w:t>
            </w:r>
          </w:p>
        </w:tc>
      </w:tr>
      <w:tr w:rsidR="006600D0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0D0" w:rsidRDefault="006600D0" w:rsidP="00566CE8">
            <w:pP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SUBDIRECCIÓN DE POLITICA ESTRATEGIA INSTITUCIONAL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0D0" w:rsidRPr="009102D9" w:rsidRDefault="006600D0" w:rsidP="00566CE8">
            <w:pPr>
              <w:jc w:val="center"/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</w:tr>
      <w:tr w:rsidR="009102D9" w:rsidRPr="009102D9" w:rsidTr="006600D0">
        <w:trPr>
          <w:trHeight w:val="300"/>
          <w:jc w:val="center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:rsidR="009102D9" w:rsidRPr="009102D9" w:rsidRDefault="009102D9" w:rsidP="00566CE8">
            <w:pPr>
              <w:rPr>
                <w:rFonts w:ascii="Antique Olive" w:hAnsi="Antique Olive"/>
                <w:b/>
                <w:color w:val="000000"/>
                <w:sz w:val="24"/>
                <w:szCs w:val="24"/>
                <w:lang w:val="es-CO" w:eastAsia="es-CO"/>
              </w:rPr>
            </w:pPr>
            <w:r w:rsidRPr="009102D9">
              <w:rPr>
                <w:rFonts w:ascii="Antique Olive" w:hAnsi="Antique Olive"/>
                <w:b/>
                <w:color w:val="000000"/>
                <w:sz w:val="24"/>
                <w:szCs w:val="24"/>
                <w:lang w:val="es-CO" w:eastAsia="es-CO"/>
              </w:rPr>
              <w:t>TOTAL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9102D9" w:rsidRPr="009102D9" w:rsidRDefault="006600D0" w:rsidP="00566CE8">
            <w:pPr>
              <w:jc w:val="center"/>
              <w:rPr>
                <w:rFonts w:ascii="Antique Olive" w:hAnsi="Antique Olive"/>
                <w:b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ntique Olive" w:hAnsi="Antique Olive"/>
                <w:b/>
                <w:color w:val="000000"/>
                <w:sz w:val="24"/>
                <w:szCs w:val="24"/>
                <w:lang w:val="es-CO" w:eastAsia="es-CO"/>
              </w:rPr>
              <w:t>38</w:t>
            </w:r>
          </w:p>
        </w:tc>
      </w:tr>
    </w:tbl>
    <w:p w:rsidR="009102D9" w:rsidRPr="009102D9" w:rsidRDefault="009102D9" w:rsidP="009102D9">
      <w:pPr>
        <w:jc w:val="both"/>
        <w:rPr>
          <w:rFonts w:ascii="Antique Olive" w:hAnsi="Antique Olive" w:cs="Arial"/>
          <w:sz w:val="24"/>
          <w:szCs w:val="24"/>
        </w:rPr>
      </w:pPr>
      <w:r w:rsidRPr="009102D9">
        <w:rPr>
          <w:rFonts w:ascii="Antique Olive" w:hAnsi="Antique Olive" w:cs="Arial"/>
          <w:sz w:val="24"/>
          <w:szCs w:val="24"/>
        </w:rPr>
        <w:t xml:space="preserve"> </w:t>
      </w:r>
    </w:p>
    <w:p w:rsidR="009102D9" w:rsidRPr="009102D9" w:rsidRDefault="00A30F05" w:rsidP="009102D9">
      <w:pPr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>Las demás Direcciones Seccionales y Dependencias de la entidad</w:t>
      </w:r>
      <w:r w:rsidR="009102D9" w:rsidRPr="009102D9">
        <w:rPr>
          <w:rFonts w:ascii="Antique Olive" w:hAnsi="Antique Olive" w:cs="Arial"/>
          <w:sz w:val="24"/>
          <w:szCs w:val="24"/>
        </w:rPr>
        <w:t xml:space="preserve"> no reportaron solicitudes negadas. </w:t>
      </w:r>
    </w:p>
    <w:p w:rsidR="009102D9" w:rsidRPr="009102D9" w:rsidRDefault="009102D9" w:rsidP="009102D9">
      <w:pPr>
        <w:jc w:val="both"/>
        <w:rPr>
          <w:rFonts w:ascii="Antique Olive" w:hAnsi="Antique Olive" w:cs="Arial"/>
          <w:sz w:val="24"/>
          <w:szCs w:val="24"/>
        </w:rPr>
      </w:pPr>
    </w:p>
    <w:p w:rsidR="009102D9" w:rsidRPr="001964CD" w:rsidRDefault="006600D0" w:rsidP="001964CD">
      <w:pPr>
        <w:tabs>
          <w:tab w:val="left" w:pos="6994"/>
        </w:tabs>
        <w:jc w:val="both"/>
        <w:rPr>
          <w:rFonts w:ascii="Antique Olive" w:hAnsi="Antique Olive" w:cs="Arial"/>
          <w:sz w:val="24"/>
          <w:szCs w:val="24"/>
        </w:rPr>
      </w:pPr>
      <w:r>
        <w:rPr>
          <w:rFonts w:ascii="Antique Olive" w:hAnsi="Antique Olive" w:cs="Arial"/>
          <w:sz w:val="24"/>
          <w:szCs w:val="24"/>
        </w:rPr>
        <w:tab/>
      </w:r>
    </w:p>
    <w:p w:rsidR="009102D9" w:rsidRPr="009102D9" w:rsidRDefault="009102D9" w:rsidP="009102D9">
      <w:pPr>
        <w:jc w:val="both"/>
        <w:rPr>
          <w:rFonts w:ascii="Antique Olive" w:hAnsi="Antique Olive" w:cs="Arial"/>
          <w:sz w:val="24"/>
          <w:szCs w:val="24"/>
        </w:rPr>
      </w:pPr>
      <w:r w:rsidRPr="009102D9">
        <w:rPr>
          <w:rFonts w:ascii="Antique Olive" w:hAnsi="Antique Olive" w:cs="Arial"/>
          <w:b/>
          <w:sz w:val="24"/>
          <w:szCs w:val="24"/>
        </w:rPr>
        <w:t xml:space="preserve">Dirección de Atención al Usuario, Intervención Temprana y Asignaciones. </w:t>
      </w:r>
    </w:p>
    <w:p w:rsidR="009102D9" w:rsidRPr="009102D9" w:rsidRDefault="009102D9" w:rsidP="009102D9">
      <w:pPr>
        <w:ind w:firstLine="708"/>
      </w:pPr>
    </w:p>
    <w:sectPr w:rsidR="009102D9" w:rsidRPr="009102D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CC" w:rsidRDefault="00987CCC" w:rsidP="00087124">
      <w:r>
        <w:separator/>
      </w:r>
    </w:p>
  </w:endnote>
  <w:endnote w:type="continuationSeparator" w:id="0">
    <w:p w:rsidR="00987CCC" w:rsidRDefault="00987CCC" w:rsidP="000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Trebuchet MS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74E" w:rsidRDefault="001A17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15C371B" wp14:editId="69BAC692">
          <wp:simplePos x="0" y="0"/>
          <wp:positionH relativeFrom="margin">
            <wp:posOffset>4408715</wp:posOffset>
          </wp:positionH>
          <wp:positionV relativeFrom="paragraph">
            <wp:posOffset>-97971</wp:posOffset>
          </wp:positionV>
          <wp:extent cx="2136038" cy="600761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038" cy="60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CC" w:rsidRDefault="00987CCC" w:rsidP="00087124">
      <w:r>
        <w:separator/>
      </w:r>
    </w:p>
  </w:footnote>
  <w:footnote w:type="continuationSeparator" w:id="0">
    <w:p w:rsidR="00987CCC" w:rsidRDefault="00987CCC" w:rsidP="00087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124" w:rsidRDefault="00087124" w:rsidP="00087124">
    <w:pPr>
      <w:pStyle w:val="Encabezado"/>
      <w:jc w:val="center"/>
    </w:pPr>
    <w:r>
      <w:rPr>
        <w:b/>
        <w:noProof/>
        <w:lang w:val="es-CO" w:eastAsia="es-CO"/>
      </w:rPr>
      <w:drawing>
        <wp:inline distT="0" distB="0" distL="0" distR="0" wp14:anchorId="65D38B90" wp14:editId="7F9DFD42">
          <wp:extent cx="779780" cy="971550"/>
          <wp:effectExtent l="0" t="0" r="127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53" cy="97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17FF7"/>
    <w:multiLevelType w:val="hybridMultilevel"/>
    <w:tmpl w:val="B62E77C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583F"/>
    <w:multiLevelType w:val="hybridMultilevel"/>
    <w:tmpl w:val="AB763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91A20"/>
    <w:multiLevelType w:val="hybridMultilevel"/>
    <w:tmpl w:val="B62E77C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24"/>
    <w:rsid w:val="00087124"/>
    <w:rsid w:val="000F2370"/>
    <w:rsid w:val="00130081"/>
    <w:rsid w:val="001964CD"/>
    <w:rsid w:val="001A174E"/>
    <w:rsid w:val="0020596A"/>
    <w:rsid w:val="002D3EC4"/>
    <w:rsid w:val="004E6426"/>
    <w:rsid w:val="004E6B51"/>
    <w:rsid w:val="00586EB2"/>
    <w:rsid w:val="006108DB"/>
    <w:rsid w:val="00617C18"/>
    <w:rsid w:val="00624925"/>
    <w:rsid w:val="006600D0"/>
    <w:rsid w:val="0068296A"/>
    <w:rsid w:val="006953BA"/>
    <w:rsid w:val="006B01FF"/>
    <w:rsid w:val="007373C4"/>
    <w:rsid w:val="007C0BCB"/>
    <w:rsid w:val="00822010"/>
    <w:rsid w:val="009102D9"/>
    <w:rsid w:val="009234EC"/>
    <w:rsid w:val="00987CCC"/>
    <w:rsid w:val="00A30F05"/>
    <w:rsid w:val="00AC367B"/>
    <w:rsid w:val="00B34E07"/>
    <w:rsid w:val="00B82FA4"/>
    <w:rsid w:val="00BA16CF"/>
    <w:rsid w:val="00C174A3"/>
    <w:rsid w:val="00C7370C"/>
    <w:rsid w:val="00D076AB"/>
    <w:rsid w:val="00E16E05"/>
    <w:rsid w:val="00F6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052983-A3B5-43B4-9F61-01F47EB1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1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124"/>
  </w:style>
  <w:style w:type="paragraph" w:styleId="Piedepgina">
    <w:name w:val="footer"/>
    <w:basedOn w:val="Normal"/>
    <w:link w:val="PiedepginaCar"/>
    <w:uiPriority w:val="99"/>
    <w:unhideWhenUsed/>
    <w:rsid w:val="000871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124"/>
  </w:style>
  <w:style w:type="paragraph" w:styleId="Prrafodelista">
    <w:name w:val="List Paragraph"/>
    <w:basedOn w:val="Normal"/>
    <w:uiPriority w:val="34"/>
    <w:qFormat/>
    <w:rsid w:val="001A174E"/>
    <w:pPr>
      <w:ind w:left="708"/>
    </w:pPr>
  </w:style>
  <w:style w:type="table" w:styleId="Tablaconcuadrcula">
    <w:name w:val="Table Grid"/>
    <w:basedOn w:val="Tablanormal"/>
    <w:uiPriority w:val="39"/>
    <w:rsid w:val="00BA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3CAD-A50C-4C3A-AD31-796E4216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Maritza Diaz Valderrama</dc:creator>
  <cp:keywords/>
  <dc:description/>
  <cp:lastModifiedBy>Vivian Maritza Diaz Valderrama</cp:lastModifiedBy>
  <cp:revision>9</cp:revision>
  <dcterms:created xsi:type="dcterms:W3CDTF">2019-01-24T19:41:00Z</dcterms:created>
  <dcterms:modified xsi:type="dcterms:W3CDTF">2019-01-31T21:25:00Z</dcterms:modified>
</cp:coreProperties>
</file>