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2CEB" w14:textId="77777777" w:rsidR="00E91AB9" w:rsidRDefault="00E91AB9" w:rsidP="00E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lang w:val="es-ES"/>
        </w:rPr>
      </w:pPr>
      <w:bookmarkStart w:id="0" w:name="_Hlk171326756"/>
      <w:r w:rsidRPr="00717D90">
        <w:rPr>
          <w:rFonts w:ascii="Calibri" w:eastAsia="Calibri" w:hAnsi="Calibri"/>
          <w:noProof/>
          <w:kern w:val="0"/>
          <w:lang w:eastAsia="es-CO"/>
        </w:rPr>
        <w:drawing>
          <wp:inline distT="0" distB="0" distL="0" distR="0" wp14:anchorId="5B8E2095" wp14:editId="7684EA4A">
            <wp:extent cx="714375" cy="914400"/>
            <wp:effectExtent l="0" t="0" r="9525" b="0"/>
            <wp:docPr id="2" name="Imagen 2" descr="C:\Users\ilde.saenz\AppData\Local\Microsoft\Windows\Temporary Internet Files\Content.Outlook\BDWFRGO2\FGN B_N Vertic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ilde.saenz\AppData\Local\Microsoft\Windows\Temporary Internet Files\Content.Outlook\BDWFRGO2\FGN B_N Vertica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11041" r="13193" b="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ECC4" w14:textId="77777777" w:rsidR="00E91AB9" w:rsidRPr="00EB1994" w:rsidRDefault="00E91AB9" w:rsidP="00E91AB9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  <w:lang w:val="es-ES"/>
        </w:rPr>
      </w:pPr>
    </w:p>
    <w:p w14:paraId="3899FA4A" w14:textId="77777777" w:rsidR="00E91AB9" w:rsidRPr="00F73BBA" w:rsidRDefault="00E91AB9" w:rsidP="00E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1F3FE3">
        <w:rPr>
          <w:rFonts w:ascii="Arial" w:hAnsi="Arial" w:cs="Arial"/>
          <w:b/>
          <w:bCs/>
          <w:sz w:val="28"/>
          <w:szCs w:val="28"/>
          <w:lang w:val="es-ES"/>
        </w:rPr>
        <w:t xml:space="preserve">NOTIFICACIÓN POR ESTADO </w:t>
      </w:r>
    </w:p>
    <w:p w14:paraId="0623AF9E" w14:textId="77777777" w:rsidR="00E91AB9" w:rsidRPr="00F73BBA" w:rsidRDefault="00E91AB9" w:rsidP="00E91AB9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319"/>
        <w:gridCol w:w="1982"/>
        <w:gridCol w:w="2834"/>
        <w:gridCol w:w="1151"/>
        <w:gridCol w:w="709"/>
        <w:gridCol w:w="1133"/>
      </w:tblGrid>
      <w:tr w:rsidR="00E91AB9" w:rsidRPr="00717D90" w14:paraId="39E2D638" w14:textId="77777777" w:rsidTr="00C37FE6">
        <w:tc>
          <w:tcPr>
            <w:tcW w:w="1079" w:type="dxa"/>
            <w:shd w:val="clear" w:color="auto" w:fill="auto"/>
          </w:tcPr>
          <w:p w14:paraId="221505DC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RADICADO</w:t>
            </w:r>
          </w:p>
        </w:tc>
        <w:tc>
          <w:tcPr>
            <w:tcW w:w="1200" w:type="dxa"/>
            <w:shd w:val="clear" w:color="auto" w:fill="auto"/>
          </w:tcPr>
          <w:p w14:paraId="1B8E8B03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AFECTADOS Y SUJETOS PROCESALES A NOTIFICAR</w:t>
            </w:r>
          </w:p>
        </w:tc>
        <w:tc>
          <w:tcPr>
            <w:tcW w:w="2030" w:type="dxa"/>
            <w:shd w:val="clear" w:color="auto" w:fill="auto"/>
          </w:tcPr>
          <w:p w14:paraId="4677AD82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DELITO</w:t>
            </w:r>
          </w:p>
        </w:tc>
        <w:tc>
          <w:tcPr>
            <w:tcW w:w="2903" w:type="dxa"/>
            <w:shd w:val="clear" w:color="auto" w:fill="auto"/>
          </w:tcPr>
          <w:p w14:paraId="78482FA3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RESOLUCIÓN</w:t>
            </w:r>
          </w:p>
        </w:tc>
        <w:tc>
          <w:tcPr>
            <w:tcW w:w="1152" w:type="dxa"/>
            <w:shd w:val="clear" w:color="auto" w:fill="auto"/>
          </w:tcPr>
          <w:p w14:paraId="04587123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CUADERNO</w:t>
            </w:r>
          </w:p>
        </w:tc>
        <w:tc>
          <w:tcPr>
            <w:tcW w:w="709" w:type="dxa"/>
            <w:shd w:val="clear" w:color="auto" w:fill="auto"/>
          </w:tcPr>
          <w:p w14:paraId="4FF8F500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FOLIO</w:t>
            </w:r>
          </w:p>
        </w:tc>
        <w:tc>
          <w:tcPr>
            <w:tcW w:w="1134" w:type="dxa"/>
            <w:shd w:val="clear" w:color="auto" w:fill="auto"/>
          </w:tcPr>
          <w:p w14:paraId="1CDBDE10" w14:textId="77777777" w:rsidR="00E91AB9" w:rsidRPr="00717D90" w:rsidRDefault="00E91AB9" w:rsidP="00C37F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DESPACHO FISCAL No.</w:t>
            </w:r>
          </w:p>
        </w:tc>
      </w:tr>
      <w:tr w:rsidR="00E91AB9" w:rsidRPr="00717D90" w14:paraId="50861B80" w14:textId="77777777" w:rsidTr="00C37FE6">
        <w:tc>
          <w:tcPr>
            <w:tcW w:w="1079" w:type="dxa"/>
            <w:shd w:val="clear" w:color="auto" w:fill="auto"/>
          </w:tcPr>
          <w:p w14:paraId="4E40E3FB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76253</w:t>
            </w:r>
          </w:p>
          <w:p w14:paraId="2A76F285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042A618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7EAAF07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1495DE2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06A385BD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A4E66F2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CD03019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9D21549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B876212" w14:textId="77777777" w:rsidR="00E91AB9" w:rsidRPr="00717D90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14:paraId="03CA0A22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78F379AA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JOSE JAVIER VELANDIA</w:t>
            </w:r>
          </w:p>
          <w:p w14:paraId="2F8F5B41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9ACA70E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5F9180C7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C063113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4959D7D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AC79A5B" w14:textId="77777777" w:rsidR="00E91AB9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67955A6" w14:textId="77777777" w:rsidR="00E91AB9" w:rsidRPr="00717D90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30" w:type="dxa"/>
            <w:shd w:val="clear" w:color="auto" w:fill="auto"/>
          </w:tcPr>
          <w:p w14:paraId="47D78ACF" w14:textId="77777777" w:rsidR="00E91AB9" w:rsidRPr="00717D90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SECUESTRO EXTORSIVO AGRAVADO</w:t>
            </w:r>
          </w:p>
        </w:tc>
        <w:tc>
          <w:tcPr>
            <w:tcW w:w="2903" w:type="dxa"/>
            <w:shd w:val="clear" w:color="auto" w:fill="auto"/>
          </w:tcPr>
          <w:p w14:paraId="32F5084F" w14:textId="77777777" w:rsidR="00E91AB9" w:rsidRPr="00717D90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De </w:t>
            </w:r>
            <w:proofErr w:type="gramStart"/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fecha  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veintisiete</w:t>
            </w:r>
            <w:proofErr w:type="gramEnd"/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 (27) </w:t>
            </w: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junio</w:t>
            </w: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 del 202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5</w:t>
            </w: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, por medio de la cual la Fiscalía 16 DE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C</w:t>
            </w: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OC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 xml:space="preserve"> LEY 600</w:t>
            </w: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:</w:t>
            </w:r>
          </w:p>
          <w:p w14:paraId="7D4C81C2" w14:textId="77777777" w:rsidR="00E91AB9" w:rsidRPr="00717D90" w:rsidRDefault="00E91AB9" w:rsidP="00C37FE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  <w:p w14:paraId="7B1ADF1E" w14:textId="77777777" w:rsidR="00E91AB9" w:rsidRPr="00717D90" w:rsidRDefault="00E91AB9" w:rsidP="00C37F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3" w:hanging="263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CALIFICA EL SUMARIO Y PRECLUYO LA INVESTIGACION A FAVOR DEL SEÑOR JOSE JAVIER VELANDIA GONZALEZ</w:t>
            </w:r>
          </w:p>
        </w:tc>
        <w:tc>
          <w:tcPr>
            <w:tcW w:w="1152" w:type="dxa"/>
            <w:shd w:val="clear" w:color="auto" w:fill="auto"/>
          </w:tcPr>
          <w:p w14:paraId="50EE749D" w14:textId="77777777" w:rsidR="00E91AB9" w:rsidRPr="00717D90" w:rsidRDefault="00E91AB9" w:rsidP="00C37F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TRES (03)</w:t>
            </w:r>
          </w:p>
        </w:tc>
        <w:tc>
          <w:tcPr>
            <w:tcW w:w="709" w:type="dxa"/>
            <w:shd w:val="clear" w:color="auto" w:fill="auto"/>
          </w:tcPr>
          <w:p w14:paraId="66FC8878" w14:textId="77777777" w:rsidR="00E91AB9" w:rsidRPr="00717D90" w:rsidRDefault="00E91AB9" w:rsidP="00C37F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14:paraId="010C50D8" w14:textId="77777777" w:rsidR="00E91AB9" w:rsidRPr="00717D90" w:rsidRDefault="00E91AB9" w:rsidP="00C37F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7D90">
              <w:rPr>
                <w:rFonts w:ascii="Arial" w:hAnsi="Arial" w:cs="Arial"/>
                <w:sz w:val="16"/>
                <w:szCs w:val="16"/>
                <w:highlight w:val="yellow"/>
                <w:lang w:val="es-ES"/>
              </w:rPr>
              <w:t>16 DECOC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LEY 600</w:t>
            </w:r>
          </w:p>
        </w:tc>
      </w:tr>
    </w:tbl>
    <w:p w14:paraId="43D9DDB6" w14:textId="77777777" w:rsidR="00E91AB9" w:rsidRPr="00F73BBA" w:rsidRDefault="00E91AB9" w:rsidP="00E91AB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14:paraId="181B56C0" w14:textId="77777777" w:rsidR="00E91AB9" w:rsidRPr="00F73BBA" w:rsidRDefault="00E91AB9" w:rsidP="00E91AB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14:paraId="6BDBD019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 los veinticinco (25)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dias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del mes de julio de 2025, </w:t>
      </w:r>
      <w:r w:rsidRPr="00F73BBA">
        <w:rPr>
          <w:rFonts w:ascii="Arial" w:hAnsi="Arial" w:cs="Arial"/>
          <w:sz w:val="28"/>
          <w:szCs w:val="28"/>
          <w:lang w:val="es-ES"/>
        </w:rPr>
        <w:t xml:space="preserve">La suscrita Fiscal adscrita al Despacho </w:t>
      </w:r>
      <w:r>
        <w:rPr>
          <w:rFonts w:ascii="Arial" w:hAnsi="Arial" w:cs="Arial"/>
          <w:sz w:val="28"/>
          <w:szCs w:val="28"/>
          <w:lang w:val="es-ES"/>
        </w:rPr>
        <w:t>16</w:t>
      </w:r>
      <w:r w:rsidRPr="00F73BBA">
        <w:rPr>
          <w:rFonts w:ascii="Arial" w:hAnsi="Arial" w:cs="Arial"/>
          <w:sz w:val="28"/>
          <w:szCs w:val="28"/>
          <w:lang w:val="es-ES"/>
        </w:rPr>
        <w:t xml:space="preserve"> DECOC hace constar que la providencia arriba relacionada, fue notificad</w:t>
      </w:r>
      <w:r>
        <w:rPr>
          <w:rFonts w:ascii="Arial" w:hAnsi="Arial" w:cs="Arial"/>
          <w:sz w:val="28"/>
          <w:szCs w:val="28"/>
          <w:lang w:val="es-ES"/>
        </w:rPr>
        <w:t>a</w:t>
      </w:r>
      <w:r w:rsidRPr="00F73BBA">
        <w:rPr>
          <w:rFonts w:ascii="Arial" w:hAnsi="Arial" w:cs="Arial"/>
          <w:sz w:val="28"/>
          <w:szCs w:val="28"/>
          <w:lang w:val="es-ES"/>
        </w:rPr>
        <w:t xml:space="preserve"> por Estado de conformidad con el </w:t>
      </w:r>
      <w:r w:rsidRPr="001F3FE3">
        <w:rPr>
          <w:rFonts w:ascii="Arial" w:hAnsi="Arial" w:cs="Arial"/>
          <w:sz w:val="28"/>
          <w:szCs w:val="28"/>
          <w:lang w:val="es-ES"/>
        </w:rPr>
        <w:t xml:space="preserve">Artículo 179 del </w:t>
      </w:r>
      <w:r w:rsidRPr="006C16F1">
        <w:rPr>
          <w:rFonts w:ascii="Arial" w:hAnsi="Arial" w:cs="Arial"/>
          <w:sz w:val="28"/>
          <w:szCs w:val="28"/>
          <w:highlight w:val="yellow"/>
          <w:lang w:val="es-ES"/>
        </w:rPr>
        <w:t>C.P.P. Ley 600 de 2000, en el Estado, el cual</w:t>
      </w:r>
      <w:r w:rsidRPr="00F73BBA">
        <w:rPr>
          <w:rFonts w:ascii="Arial" w:hAnsi="Arial" w:cs="Arial"/>
          <w:sz w:val="28"/>
          <w:szCs w:val="28"/>
          <w:lang w:val="es-ES"/>
        </w:rPr>
        <w:t xml:space="preserve"> permaneció fijado desde las 08:00 a.m. hasta las 0</w:t>
      </w:r>
      <w:r>
        <w:rPr>
          <w:rFonts w:ascii="Arial" w:hAnsi="Arial" w:cs="Arial"/>
          <w:sz w:val="28"/>
          <w:szCs w:val="28"/>
          <w:lang w:val="es-ES"/>
        </w:rPr>
        <w:t>5</w:t>
      </w:r>
      <w:r w:rsidRPr="00F73BBA">
        <w:rPr>
          <w:rFonts w:ascii="Arial" w:hAnsi="Arial" w:cs="Arial"/>
          <w:sz w:val="28"/>
          <w:szCs w:val="28"/>
          <w:lang w:val="es-ES"/>
        </w:rPr>
        <w:t>:00 p.m., en un lugar público y visible de la Secretaría Administrativa de la Dirección Especializada contra Organizaciones Criminales (DECOC).</w:t>
      </w:r>
    </w:p>
    <w:p w14:paraId="6ACB52CE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</w:p>
    <w:p w14:paraId="15348F44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41D0F58" wp14:editId="725DBF27">
            <wp:simplePos x="0" y="0"/>
            <wp:positionH relativeFrom="page">
              <wp:posOffset>3219450</wp:posOffset>
            </wp:positionH>
            <wp:positionV relativeFrom="paragraph">
              <wp:posOffset>37465</wp:posOffset>
            </wp:positionV>
            <wp:extent cx="1332230" cy="680085"/>
            <wp:effectExtent l="0" t="0" r="1270" b="5715"/>
            <wp:wrapNone/>
            <wp:docPr id="3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t="29295" r="6117" b="4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8E2DF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</w:p>
    <w:p w14:paraId="7ED43D34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</w:p>
    <w:p w14:paraId="2F3CFCF0" w14:textId="77777777" w:rsidR="00E91AB9" w:rsidRDefault="00E91AB9" w:rsidP="00E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C03F34" w14:textId="77777777" w:rsidR="00E91AB9" w:rsidRDefault="00E91AB9" w:rsidP="00E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7459AAF" w14:textId="77777777" w:rsidR="00E91AB9" w:rsidRPr="00F73BBA" w:rsidRDefault="00E91AB9" w:rsidP="00E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RITA SANDRA GIL ARIAS</w:t>
      </w:r>
    </w:p>
    <w:p w14:paraId="244C21E3" w14:textId="77777777" w:rsidR="00E91AB9" w:rsidRDefault="00E91AB9" w:rsidP="00E91A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F73BBA">
        <w:rPr>
          <w:rFonts w:ascii="Arial" w:hAnsi="Arial" w:cs="Arial"/>
          <w:sz w:val="28"/>
          <w:szCs w:val="28"/>
          <w:lang w:val="es-ES"/>
        </w:rPr>
        <w:t>Fiscal</w:t>
      </w:r>
      <w:r>
        <w:rPr>
          <w:rFonts w:ascii="Arial" w:hAnsi="Arial" w:cs="Arial"/>
          <w:sz w:val="28"/>
          <w:szCs w:val="28"/>
          <w:lang w:val="es-ES"/>
        </w:rPr>
        <w:t xml:space="preserve"> 16 Especializada ley 600</w:t>
      </w:r>
    </w:p>
    <w:p w14:paraId="17BCD40A" w14:textId="77777777" w:rsidR="00E91AB9" w:rsidRPr="00F73BBA" w:rsidRDefault="00E91AB9" w:rsidP="00E91A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DECOC</w:t>
      </w:r>
    </w:p>
    <w:p w14:paraId="421F3D8D" w14:textId="77777777" w:rsidR="00E91AB9" w:rsidRPr="00F73BBA" w:rsidRDefault="00E91AB9" w:rsidP="00E91AB9">
      <w:pPr>
        <w:spacing w:after="0" w:line="240" w:lineRule="auto"/>
        <w:ind w:left="-709" w:right="-660"/>
        <w:rPr>
          <w:rFonts w:ascii="Arial" w:hAnsi="Arial" w:cs="Arial"/>
          <w:sz w:val="28"/>
          <w:szCs w:val="28"/>
          <w:lang w:val="es-ES"/>
        </w:rPr>
      </w:pPr>
    </w:p>
    <w:p w14:paraId="438933B9" w14:textId="77777777" w:rsidR="00E91AB9" w:rsidRDefault="00E91AB9" w:rsidP="00E91AB9">
      <w:pPr>
        <w:spacing w:after="0" w:line="240" w:lineRule="auto"/>
        <w:ind w:left="-709" w:right="-660"/>
        <w:jc w:val="both"/>
        <w:rPr>
          <w:rFonts w:ascii="Arial" w:hAnsi="Arial" w:cs="Arial"/>
          <w:sz w:val="28"/>
          <w:szCs w:val="28"/>
          <w:lang w:val="es-ES"/>
        </w:rPr>
      </w:pPr>
    </w:p>
    <w:bookmarkEnd w:id="0"/>
    <w:p w14:paraId="01921076" w14:textId="77777777" w:rsidR="00E91AB9" w:rsidRDefault="00E91AB9" w:rsidP="00E91AB9">
      <w:r>
        <w:rPr>
          <w:rFonts w:ascii="Arial" w:hAnsi="Arial" w:cs="Arial"/>
          <w:sz w:val="28"/>
          <w:szCs w:val="28"/>
          <w:lang w:val="es-ES"/>
        </w:rPr>
        <w:br w:type="page"/>
      </w:r>
    </w:p>
    <w:p w14:paraId="0D37FCE7" w14:textId="77777777" w:rsidR="00E91AB9" w:rsidRDefault="00E91AB9"/>
    <w:sectPr w:rsidR="00E91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9538E"/>
    <w:multiLevelType w:val="hybridMultilevel"/>
    <w:tmpl w:val="CE5E810E"/>
    <w:lvl w:ilvl="0" w:tplc="80F84F2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7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B9"/>
    <w:rsid w:val="009B6385"/>
    <w:rsid w:val="00E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A565"/>
  <w15:chartTrackingRefBased/>
  <w15:docId w15:val="{CB0B49B3-DFAF-4C28-8B00-440B503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B9"/>
    <w:rPr>
      <w:rFonts w:ascii="Aptos" w:eastAsia="Aptos" w:hAnsi="Aptos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1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1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A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A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A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A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A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A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A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1A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A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A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1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Sandra Gil Arias</dc:creator>
  <cp:keywords/>
  <dc:description/>
  <cp:lastModifiedBy>Rita Sandra Gil Arias</cp:lastModifiedBy>
  <cp:revision>1</cp:revision>
  <dcterms:created xsi:type="dcterms:W3CDTF">2025-07-25T16:41:00Z</dcterms:created>
  <dcterms:modified xsi:type="dcterms:W3CDTF">2025-07-25T16:41:00Z</dcterms:modified>
</cp:coreProperties>
</file>