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5A" w:rsidRDefault="00A3545A" w:rsidP="00A3545A">
      <w:pPr>
        <w:spacing w:after="0" w:line="240" w:lineRule="auto"/>
        <w:jc w:val="center"/>
        <w:rPr>
          <w:rFonts w:ascii="Arial" w:hAnsi="Arial" w:cs="Arial"/>
          <w:b/>
          <w:bCs/>
          <w:sz w:val="28"/>
          <w:szCs w:val="28"/>
          <w:highlight w:val="yellow"/>
          <w:lang w:val="es-ES"/>
        </w:rPr>
      </w:pPr>
      <w:bookmarkStart w:id="0" w:name="_Hlk171326756"/>
      <w:r>
        <w:rPr>
          <w:rFonts w:ascii="Calibri" w:eastAsia="Calibri" w:hAnsi="Calibri" w:cs="Times New Roman"/>
          <w:noProof/>
          <w:kern w:val="0"/>
          <w:lang w:eastAsia="es-CO"/>
        </w:rPr>
        <w:drawing>
          <wp:inline distT="0" distB="0" distL="0" distR="0" wp14:anchorId="4F7C2815" wp14:editId="691A866B">
            <wp:extent cx="722214" cy="922352"/>
            <wp:effectExtent l="0" t="0" r="1905" b="0"/>
            <wp:docPr id="517891660" name="Imagen 2" descr="C:\Users\ilde.saenz\AppData\Local\Microsoft\Windows\Temporary Internet Files\Content.Outlook\BDWFRGO2\FGN B_N Vertical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l="12174" t="11042" r="13192" b="6829"/>
                    <a:stretch>
                      <a:fillRect/>
                    </a:stretch>
                  </pic:blipFill>
                  <pic:spPr>
                    <a:xfrm>
                      <a:off x="0" y="0"/>
                      <a:ext cx="725111" cy="926052"/>
                    </a:xfrm>
                    <a:prstGeom prst="rect">
                      <a:avLst/>
                    </a:prstGeom>
                    <a:noFill/>
                    <a:ln>
                      <a:noFill/>
                      <a:prstDash/>
                    </a:ln>
                  </pic:spPr>
                </pic:pic>
              </a:graphicData>
            </a:graphic>
          </wp:inline>
        </w:drawing>
      </w:r>
    </w:p>
    <w:p w:rsidR="00A3545A" w:rsidRPr="00EB1994" w:rsidRDefault="00A3545A" w:rsidP="00A3545A">
      <w:pPr>
        <w:spacing w:after="0" w:line="240" w:lineRule="auto"/>
        <w:jc w:val="center"/>
        <w:rPr>
          <w:rFonts w:ascii="Arial" w:hAnsi="Arial" w:cs="Arial"/>
          <w:sz w:val="28"/>
          <w:szCs w:val="28"/>
          <w:highlight w:val="yellow"/>
          <w:lang w:val="es-ES"/>
        </w:rPr>
      </w:pPr>
    </w:p>
    <w:p w:rsidR="00A3545A" w:rsidRPr="00F73BBA" w:rsidRDefault="00A3545A" w:rsidP="00A3545A">
      <w:pPr>
        <w:spacing w:after="0" w:line="240" w:lineRule="auto"/>
        <w:jc w:val="center"/>
        <w:rPr>
          <w:rFonts w:ascii="Arial" w:hAnsi="Arial" w:cs="Arial"/>
          <w:b/>
          <w:bCs/>
          <w:sz w:val="28"/>
          <w:szCs w:val="28"/>
          <w:lang w:val="es-ES"/>
        </w:rPr>
      </w:pPr>
      <w:r w:rsidRPr="001F3FE3">
        <w:rPr>
          <w:rFonts w:ascii="Arial" w:hAnsi="Arial" w:cs="Arial"/>
          <w:b/>
          <w:bCs/>
          <w:sz w:val="28"/>
          <w:szCs w:val="28"/>
          <w:lang w:val="es-ES"/>
        </w:rPr>
        <w:t>NOTIFICACIÓN POR ESTADO No.0</w:t>
      </w:r>
      <w:r>
        <w:rPr>
          <w:rFonts w:ascii="Arial" w:hAnsi="Arial" w:cs="Arial"/>
          <w:b/>
          <w:bCs/>
          <w:sz w:val="28"/>
          <w:szCs w:val="28"/>
          <w:lang w:val="es-ES"/>
        </w:rPr>
        <w:t>08</w:t>
      </w:r>
      <w:r w:rsidRPr="001F3FE3">
        <w:rPr>
          <w:rFonts w:ascii="Arial" w:hAnsi="Arial" w:cs="Arial"/>
          <w:b/>
          <w:bCs/>
          <w:sz w:val="28"/>
          <w:szCs w:val="28"/>
          <w:lang w:val="es-ES"/>
        </w:rPr>
        <w:t>-22</w:t>
      </w:r>
      <w:bookmarkStart w:id="1" w:name="_GoBack"/>
      <w:bookmarkEnd w:id="1"/>
    </w:p>
    <w:p w:rsidR="00A3545A" w:rsidRPr="00F73BBA" w:rsidRDefault="00A3545A" w:rsidP="00A3545A">
      <w:pPr>
        <w:spacing w:after="0" w:line="240" w:lineRule="auto"/>
        <w:jc w:val="right"/>
        <w:rPr>
          <w:rFonts w:ascii="Arial" w:hAnsi="Arial" w:cs="Arial"/>
          <w:lang w:val="es-ES"/>
        </w:rPr>
      </w:pPr>
    </w:p>
    <w:tbl>
      <w:tblPr>
        <w:tblStyle w:val="Tablaconcuadrcula"/>
        <w:tblW w:w="9640" w:type="dxa"/>
        <w:tblInd w:w="-714" w:type="dxa"/>
        <w:tblLook w:val="04A0" w:firstRow="1" w:lastRow="0" w:firstColumn="1" w:lastColumn="0" w:noHBand="0" w:noVBand="1"/>
      </w:tblPr>
      <w:tblGrid>
        <w:gridCol w:w="6379"/>
        <w:gridCol w:w="1418"/>
        <w:gridCol w:w="1843"/>
      </w:tblGrid>
      <w:tr w:rsidR="00A3545A" w:rsidRPr="00785971" w:rsidTr="00043346">
        <w:tc>
          <w:tcPr>
            <w:tcW w:w="6379" w:type="dxa"/>
          </w:tcPr>
          <w:p w:rsidR="00A3545A" w:rsidRPr="00785971" w:rsidRDefault="00A3545A" w:rsidP="00043346">
            <w:pPr>
              <w:jc w:val="center"/>
              <w:rPr>
                <w:rFonts w:ascii="Arial" w:hAnsi="Arial" w:cs="Arial"/>
                <w:b/>
                <w:bCs/>
                <w:sz w:val="16"/>
                <w:szCs w:val="16"/>
                <w:lang w:val="es-ES"/>
              </w:rPr>
            </w:pPr>
            <w:r>
              <w:rPr>
                <w:rFonts w:ascii="Arial" w:hAnsi="Arial" w:cs="Arial"/>
                <w:b/>
                <w:bCs/>
                <w:sz w:val="16"/>
                <w:szCs w:val="16"/>
                <w:lang w:val="es-ES"/>
              </w:rPr>
              <w:t>DETALLE</w:t>
            </w:r>
          </w:p>
        </w:tc>
        <w:tc>
          <w:tcPr>
            <w:tcW w:w="1418" w:type="dxa"/>
          </w:tcPr>
          <w:p w:rsidR="00A3545A" w:rsidRPr="00785971" w:rsidRDefault="00A3545A" w:rsidP="00043346">
            <w:pPr>
              <w:jc w:val="center"/>
              <w:rPr>
                <w:rFonts w:ascii="Arial" w:hAnsi="Arial" w:cs="Arial"/>
                <w:b/>
                <w:bCs/>
                <w:sz w:val="16"/>
                <w:szCs w:val="16"/>
                <w:lang w:val="es-ES"/>
              </w:rPr>
            </w:pPr>
            <w:r>
              <w:rPr>
                <w:rFonts w:ascii="Arial" w:hAnsi="Arial" w:cs="Arial"/>
                <w:b/>
                <w:bCs/>
                <w:sz w:val="16"/>
                <w:szCs w:val="16"/>
                <w:lang w:val="es-ES"/>
              </w:rPr>
              <w:t>FECHA DE LA RESOLUCIÓN</w:t>
            </w:r>
          </w:p>
        </w:tc>
        <w:tc>
          <w:tcPr>
            <w:tcW w:w="1843" w:type="dxa"/>
          </w:tcPr>
          <w:p w:rsidR="00A3545A" w:rsidRPr="00785971" w:rsidRDefault="00A3545A" w:rsidP="00043346">
            <w:pPr>
              <w:jc w:val="center"/>
              <w:rPr>
                <w:rFonts w:ascii="Arial" w:hAnsi="Arial" w:cs="Arial"/>
                <w:b/>
                <w:bCs/>
                <w:sz w:val="16"/>
                <w:szCs w:val="16"/>
                <w:lang w:val="es-ES"/>
              </w:rPr>
            </w:pPr>
            <w:r>
              <w:rPr>
                <w:rFonts w:ascii="Arial" w:hAnsi="Arial" w:cs="Arial"/>
                <w:b/>
                <w:bCs/>
                <w:sz w:val="16"/>
                <w:szCs w:val="16"/>
                <w:lang w:val="es-ES"/>
              </w:rPr>
              <w:t>DOCUMENTO</w:t>
            </w:r>
          </w:p>
        </w:tc>
      </w:tr>
      <w:tr w:rsidR="00A3545A" w:rsidRPr="009E5AA3" w:rsidTr="00043346">
        <w:tc>
          <w:tcPr>
            <w:tcW w:w="6379" w:type="dxa"/>
          </w:tcPr>
          <w:p w:rsidR="00A3545A" w:rsidRPr="009E5AA3" w:rsidRDefault="00A3545A" w:rsidP="00043346">
            <w:pPr>
              <w:jc w:val="both"/>
              <w:rPr>
                <w:rFonts w:ascii="Arial" w:hAnsi="Arial" w:cs="Arial"/>
                <w:sz w:val="16"/>
                <w:szCs w:val="16"/>
                <w:lang w:val="es-ES"/>
              </w:rPr>
            </w:pPr>
            <w:r w:rsidRPr="009E5AA3">
              <w:rPr>
                <w:rFonts w:ascii="Arial" w:hAnsi="Arial" w:cs="Arial"/>
                <w:b/>
                <w:bCs/>
                <w:sz w:val="16"/>
                <w:szCs w:val="16"/>
                <w:lang w:val="es-ES"/>
              </w:rPr>
              <w:t>RADICADO No.</w:t>
            </w:r>
            <w:r w:rsidRPr="009E5AA3">
              <w:rPr>
                <w:rFonts w:ascii="Arial" w:hAnsi="Arial" w:cs="Arial"/>
                <w:bCs/>
                <w:sz w:val="16"/>
                <w:szCs w:val="16"/>
                <w:lang w:val="es-ES"/>
              </w:rPr>
              <w:t xml:space="preserve">: </w:t>
            </w:r>
            <w:r w:rsidRPr="009E5AA3">
              <w:rPr>
                <w:rFonts w:ascii="Arial" w:hAnsi="Arial" w:cs="Arial"/>
                <w:sz w:val="16"/>
                <w:szCs w:val="16"/>
                <w:lang w:val="es-ES"/>
              </w:rPr>
              <w:t xml:space="preserve"> 712</w:t>
            </w:r>
          </w:p>
          <w:p w:rsidR="00A3545A" w:rsidRPr="00353FF7" w:rsidRDefault="00A3545A" w:rsidP="00043346">
            <w:pPr>
              <w:jc w:val="both"/>
              <w:rPr>
                <w:rFonts w:ascii="Arial" w:hAnsi="Arial" w:cs="Arial"/>
                <w:bCs/>
                <w:sz w:val="16"/>
                <w:szCs w:val="16"/>
                <w:lang w:val="es-ES"/>
              </w:rPr>
            </w:pPr>
          </w:p>
          <w:p w:rsidR="00A3545A" w:rsidRPr="009E5AA3" w:rsidRDefault="00A3545A" w:rsidP="00043346">
            <w:pPr>
              <w:jc w:val="both"/>
              <w:rPr>
                <w:rFonts w:ascii="Arial" w:hAnsi="Arial" w:cs="Arial"/>
                <w:b/>
                <w:bCs/>
                <w:sz w:val="16"/>
                <w:szCs w:val="16"/>
                <w:lang w:val="es-ES"/>
              </w:rPr>
            </w:pPr>
            <w:r w:rsidRPr="009E5AA3">
              <w:rPr>
                <w:rFonts w:ascii="Arial" w:hAnsi="Arial" w:cs="Arial"/>
                <w:b/>
                <w:bCs/>
                <w:sz w:val="16"/>
                <w:szCs w:val="16"/>
                <w:lang w:val="es-ES"/>
              </w:rPr>
              <w:t>AFECTADOS Y OTROS</w:t>
            </w:r>
            <w:proofErr w:type="gramStart"/>
            <w:r w:rsidRPr="009E5AA3">
              <w:rPr>
                <w:rFonts w:ascii="Arial" w:hAnsi="Arial" w:cs="Arial"/>
                <w:bCs/>
                <w:sz w:val="16"/>
                <w:szCs w:val="16"/>
                <w:lang w:val="es-ES"/>
              </w:rPr>
              <w:t>:  JOSÉ</w:t>
            </w:r>
            <w:proofErr w:type="gramEnd"/>
            <w:r w:rsidRPr="009E5AA3">
              <w:rPr>
                <w:rFonts w:ascii="Arial" w:hAnsi="Arial" w:cs="Arial"/>
                <w:bCs/>
                <w:sz w:val="16"/>
                <w:szCs w:val="16"/>
                <w:lang w:val="es-ES"/>
              </w:rPr>
              <w:t xml:space="preserve"> DAVID NAME CARDOZO, JOSÉ DE JESÚS DE LEÓN MARENCO, ROBIN JAVIER HERNÁNDEZ CASADO, DAVID NAME TEHERÁN.</w:t>
            </w:r>
          </w:p>
          <w:p w:rsidR="00A3545A" w:rsidRPr="00353FF7" w:rsidRDefault="00A3545A" w:rsidP="00043346">
            <w:pPr>
              <w:jc w:val="both"/>
              <w:rPr>
                <w:rFonts w:ascii="Arial" w:hAnsi="Arial" w:cs="Arial"/>
                <w:bCs/>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b/>
                <w:bCs/>
                <w:sz w:val="16"/>
                <w:szCs w:val="16"/>
                <w:lang w:val="es-ES"/>
              </w:rPr>
              <w:t xml:space="preserve">DELITO  </w:t>
            </w:r>
            <w:r w:rsidRPr="009E5AA3">
              <w:rPr>
                <w:rFonts w:ascii="Arial" w:hAnsi="Arial" w:cs="Arial"/>
                <w:sz w:val="16"/>
                <w:szCs w:val="16"/>
                <w:lang w:val="es-ES"/>
              </w:rPr>
              <w:t>Concierto para delinquir agravado.</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b/>
                <w:bCs/>
                <w:sz w:val="16"/>
                <w:szCs w:val="16"/>
                <w:lang w:val="es-ES"/>
              </w:rPr>
              <w:t>RESOLUCIÓN</w:t>
            </w:r>
            <w:r w:rsidRPr="009E5AA3">
              <w:rPr>
                <w:rFonts w:ascii="Arial" w:hAnsi="Arial" w:cs="Arial"/>
                <w:bCs/>
                <w:sz w:val="16"/>
                <w:szCs w:val="16"/>
                <w:lang w:val="es-ES"/>
              </w:rPr>
              <w:t xml:space="preserve"> </w:t>
            </w:r>
            <w:r w:rsidRPr="009E5AA3">
              <w:rPr>
                <w:rFonts w:ascii="Arial" w:hAnsi="Arial" w:cs="Arial"/>
                <w:sz w:val="16"/>
                <w:szCs w:val="16"/>
                <w:lang w:val="es-ES"/>
              </w:rPr>
              <w:t>por medio de la cual la Fiscalía 22 DEOC:</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sz w:val="16"/>
                <w:szCs w:val="16"/>
                <w:lang w:val="es-ES"/>
              </w:rPr>
              <w:t>1</w:t>
            </w:r>
            <w:r w:rsidRPr="009E5AA3">
              <w:rPr>
                <w:rFonts w:ascii="Arial" w:hAnsi="Arial" w:cs="Arial"/>
                <w:sz w:val="16"/>
                <w:szCs w:val="16"/>
                <w:vertAlign w:val="superscript"/>
                <w:lang w:val="es-ES"/>
              </w:rPr>
              <w:t>ro</w:t>
            </w:r>
            <w:r w:rsidRPr="009E5AA3">
              <w:rPr>
                <w:rFonts w:ascii="Arial" w:hAnsi="Arial" w:cs="Arial"/>
                <w:sz w:val="16"/>
                <w:szCs w:val="16"/>
                <w:lang w:val="es-ES"/>
              </w:rPr>
              <w:t>: Revoca y deja sin efecto, la resolución del 22 de Marzo de 2022, mediante la cual se ordenó escuchar en versión libre a ROBIN BASILIO CASTRO, VICENTE CARLOS TÁMARA CHAMORRO, ELDER MODESTO CARRIAZO BERROCAL, ADDIS ADRIANA MIRANDA OBREGÓN, FELIX ALBERTO DONADO ESCORCIA, RAFAEL ENRIQUE MACHADO MARTÍNEZ, CARLOS ARTURO CABRERA RODRÍGUEZ, RODRIGO EDISSON MARTÍNEZ RODRÍGUEZ, JUAN CARLOS OSPINO, ENRIQUE CUMPLIDO, CECILIA MOSQUERA y ALIX MIRANDA.</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sz w:val="16"/>
                <w:szCs w:val="16"/>
                <w:lang w:val="es-ES"/>
              </w:rPr>
              <w:t>2</w:t>
            </w:r>
            <w:r w:rsidRPr="009E5AA3">
              <w:rPr>
                <w:rFonts w:ascii="Arial" w:hAnsi="Arial" w:cs="Arial"/>
                <w:sz w:val="16"/>
                <w:szCs w:val="16"/>
                <w:vertAlign w:val="superscript"/>
                <w:lang w:val="es-ES"/>
              </w:rPr>
              <w:t>do</w:t>
            </w:r>
            <w:r w:rsidRPr="009E5AA3">
              <w:rPr>
                <w:rFonts w:ascii="Arial" w:hAnsi="Arial" w:cs="Arial"/>
                <w:sz w:val="16"/>
                <w:szCs w:val="16"/>
                <w:lang w:val="es-ES"/>
              </w:rPr>
              <w:t>: Revoca y deja sin efecto, la resolución del 18 de Abril de 2022, a través de la cual, se dispuso oír en versión libre a ANTONIO FERNANDO CASTILLO JIMÉNEZ, ROBIN JAVIER HERNÁNDEZ CASADO y JOSÉ DE JESÚS DE LEÓN MARENCO.</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sz w:val="16"/>
                <w:szCs w:val="16"/>
                <w:lang w:val="es-ES"/>
              </w:rPr>
              <w:t>3</w:t>
            </w:r>
            <w:r w:rsidRPr="009E5AA3">
              <w:rPr>
                <w:rFonts w:ascii="Arial" w:hAnsi="Arial" w:cs="Arial"/>
                <w:sz w:val="16"/>
                <w:szCs w:val="16"/>
                <w:vertAlign w:val="superscript"/>
                <w:lang w:val="es-ES"/>
              </w:rPr>
              <w:t>ro</w:t>
            </w:r>
            <w:r w:rsidRPr="009E5AA3">
              <w:rPr>
                <w:rFonts w:ascii="Arial" w:hAnsi="Arial" w:cs="Arial"/>
                <w:sz w:val="16"/>
                <w:szCs w:val="16"/>
                <w:lang w:val="es-ES"/>
              </w:rPr>
              <w:t>: Revoca y deja sin efecto, la resolución del 24 de Mayo de 2022, que reitera la orden de escuchar en versión libre a ROBIN JAVIER HERNÁNDEZ CASADO, ANTONIO FERNANDO CASTILLO JIMÉNEZ Y JOSÉ DE JESÚS DE LEÓN MARENCO y DAVID NAME TEHERÁN y en indagatoria a JUAN PABLO GONZÁLEZ ROSALES.</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sz w:val="16"/>
                <w:szCs w:val="16"/>
                <w:lang w:val="es-ES"/>
              </w:rPr>
              <w:t>4</w:t>
            </w:r>
            <w:r w:rsidRPr="009E5AA3">
              <w:rPr>
                <w:rFonts w:ascii="Arial" w:hAnsi="Arial" w:cs="Arial"/>
                <w:sz w:val="16"/>
                <w:szCs w:val="16"/>
                <w:vertAlign w:val="superscript"/>
                <w:lang w:val="es-ES"/>
              </w:rPr>
              <w:t>to</w:t>
            </w:r>
            <w:r w:rsidRPr="009E5AA3">
              <w:rPr>
                <w:rFonts w:ascii="Arial" w:hAnsi="Arial" w:cs="Arial"/>
                <w:sz w:val="16"/>
                <w:szCs w:val="16"/>
                <w:lang w:val="es-ES"/>
              </w:rPr>
              <w:t>: Revoca y deja sin efecto, la resolución del 17 de Agosto de 2022, mediante la cual ordena escuchar en indagatoria a ANTONIO FERNANDO CASTILLO JIMÉNEZ, ROBIN JAVIER HERNÁNDEZ CASADO y JOSÉ DE JESÚS DE LEÓN MARENCO respecto de quien existía resolución de apertura de instrucción; por las razones expuestas en la parte motiva.</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sz w:val="16"/>
                <w:szCs w:val="16"/>
                <w:lang w:val="es-ES"/>
              </w:rPr>
              <w:t>5</w:t>
            </w:r>
            <w:r w:rsidRPr="009E5AA3">
              <w:rPr>
                <w:rFonts w:ascii="Arial" w:hAnsi="Arial" w:cs="Arial"/>
                <w:sz w:val="16"/>
                <w:szCs w:val="16"/>
                <w:vertAlign w:val="superscript"/>
                <w:lang w:val="es-ES"/>
              </w:rPr>
              <w:t>to</w:t>
            </w:r>
            <w:r w:rsidRPr="009E5AA3">
              <w:rPr>
                <w:rFonts w:ascii="Arial" w:hAnsi="Arial" w:cs="Arial"/>
                <w:sz w:val="16"/>
                <w:szCs w:val="16"/>
                <w:lang w:val="es-ES"/>
              </w:rPr>
              <w:t>: Deja sin efecto las diligencias que rindieron DAVID NAME TEHERÁN el 15 de Junio de 2022, así como las de HERNÁNDEZ CASADO y LEÓN MARENCO el día 14 de Septiembre de 2022, conforme se indicó en la parte considerativa.</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sz w:val="16"/>
                <w:szCs w:val="16"/>
                <w:lang w:val="es-ES"/>
              </w:rPr>
              <w:t>6</w:t>
            </w:r>
            <w:r w:rsidRPr="009E5AA3">
              <w:rPr>
                <w:rFonts w:ascii="Arial" w:hAnsi="Arial" w:cs="Arial"/>
                <w:sz w:val="16"/>
                <w:szCs w:val="16"/>
                <w:vertAlign w:val="superscript"/>
                <w:lang w:val="es-ES"/>
              </w:rPr>
              <w:t>to</w:t>
            </w:r>
            <w:r w:rsidRPr="009E5AA3">
              <w:rPr>
                <w:rFonts w:ascii="Arial" w:hAnsi="Arial" w:cs="Arial"/>
                <w:sz w:val="16"/>
                <w:szCs w:val="16"/>
                <w:lang w:val="es-ES"/>
              </w:rPr>
              <w:t>: Revoca la resolución emitida el 1 de Diciembre de 2022, mediante la cual, la Fiscalía 15 Especializada, se inhibió de abrir investigación a favor de ROBIN JAVIER HERNÁNDEZ CASADO, JOSÉ DAVID NAME CARDOZO (Senador) y DAVID NAME TEHERÁN, por las razones expuestas en la parte motiva.</w:t>
            </w:r>
          </w:p>
          <w:p w:rsidR="00A3545A" w:rsidRPr="009E5AA3" w:rsidRDefault="00A3545A" w:rsidP="00043346">
            <w:pPr>
              <w:jc w:val="both"/>
              <w:rPr>
                <w:rFonts w:ascii="Arial" w:hAnsi="Arial" w:cs="Arial"/>
                <w:sz w:val="16"/>
                <w:szCs w:val="16"/>
                <w:lang w:val="es-ES"/>
              </w:rPr>
            </w:pPr>
          </w:p>
          <w:p w:rsidR="00A3545A" w:rsidRPr="009E5AA3" w:rsidRDefault="00A3545A" w:rsidP="00043346">
            <w:pPr>
              <w:jc w:val="both"/>
              <w:rPr>
                <w:rFonts w:ascii="Arial" w:hAnsi="Arial" w:cs="Arial"/>
                <w:sz w:val="16"/>
                <w:szCs w:val="16"/>
                <w:lang w:val="es-ES"/>
              </w:rPr>
            </w:pPr>
            <w:r w:rsidRPr="009E5AA3">
              <w:rPr>
                <w:rFonts w:ascii="Arial" w:hAnsi="Arial" w:cs="Arial"/>
                <w:sz w:val="16"/>
                <w:szCs w:val="16"/>
                <w:lang w:val="es-ES"/>
              </w:rPr>
              <w:t>7</w:t>
            </w:r>
            <w:r w:rsidRPr="009E5AA3">
              <w:rPr>
                <w:rFonts w:ascii="Arial" w:hAnsi="Arial" w:cs="Arial"/>
                <w:sz w:val="16"/>
                <w:szCs w:val="16"/>
                <w:vertAlign w:val="superscript"/>
                <w:lang w:val="es-ES"/>
              </w:rPr>
              <w:t>mo</w:t>
            </w:r>
            <w:r w:rsidRPr="009E5AA3">
              <w:rPr>
                <w:rFonts w:ascii="Arial" w:hAnsi="Arial" w:cs="Arial"/>
                <w:sz w:val="16"/>
                <w:szCs w:val="16"/>
                <w:lang w:val="es-ES"/>
              </w:rPr>
              <w:t>: Desvincula de cualquier forma de la presente investigación a ROBIN JAVIER HERNÁNDEZ CASADO, JOSÉ DAVID NAME CARDOZO, DAVID NAME TEHERÁN y JOSÉ DE JESÚS DE LEÓN MARENCO.</w:t>
            </w:r>
          </w:p>
        </w:tc>
        <w:tc>
          <w:tcPr>
            <w:tcW w:w="1418" w:type="dxa"/>
          </w:tcPr>
          <w:p w:rsidR="00A3545A" w:rsidRPr="009E5AA3" w:rsidRDefault="00A3545A" w:rsidP="00043346">
            <w:pPr>
              <w:rPr>
                <w:rFonts w:ascii="Arial" w:hAnsi="Arial" w:cs="Arial"/>
                <w:b/>
                <w:sz w:val="16"/>
                <w:szCs w:val="16"/>
                <w:lang w:val="es-ES"/>
              </w:rPr>
            </w:pPr>
            <w:r w:rsidRPr="009E5AA3">
              <w:rPr>
                <w:rFonts w:ascii="Arial" w:hAnsi="Arial" w:cs="Arial"/>
                <w:b/>
                <w:sz w:val="16"/>
                <w:szCs w:val="16"/>
                <w:lang w:val="es-ES"/>
              </w:rPr>
              <w:t>30 de abril de 2025</w:t>
            </w:r>
          </w:p>
        </w:tc>
        <w:tc>
          <w:tcPr>
            <w:tcW w:w="1843" w:type="dxa"/>
          </w:tcPr>
          <w:p w:rsidR="00A3545A" w:rsidRPr="009E5AA3" w:rsidRDefault="00A3545A" w:rsidP="00043346">
            <w:pPr>
              <w:rPr>
                <w:rFonts w:ascii="Arial" w:hAnsi="Arial" w:cs="Arial"/>
                <w:sz w:val="16"/>
                <w:szCs w:val="16"/>
                <w:lang w:val="es-ES"/>
              </w:rPr>
            </w:pPr>
            <w:r w:rsidRPr="009E5AA3">
              <w:rPr>
                <w:rFonts w:ascii="Arial" w:hAnsi="Arial" w:cs="Arial"/>
                <w:color w:val="222222"/>
                <w:sz w:val="16"/>
                <w:szCs w:val="16"/>
                <w:shd w:val="clear" w:color="auto" w:fill="FFFFFF"/>
              </w:rPr>
              <w:t xml:space="preserve">Al tratarse de una investigación seguida bajo la ritualidad de la </w:t>
            </w:r>
            <w:r w:rsidRPr="009E5AA3">
              <w:rPr>
                <w:rFonts w:ascii="Arial" w:hAnsi="Arial" w:cs="Arial"/>
                <w:b/>
                <w:color w:val="222222"/>
                <w:sz w:val="16"/>
                <w:szCs w:val="16"/>
                <w:shd w:val="clear" w:color="auto" w:fill="FFFFFF"/>
              </w:rPr>
              <w:t>Ley 600 del 2000</w:t>
            </w:r>
            <w:r w:rsidRPr="009E5AA3">
              <w:rPr>
                <w:rFonts w:ascii="Arial" w:hAnsi="Arial" w:cs="Arial"/>
                <w:color w:val="222222"/>
                <w:sz w:val="16"/>
                <w:szCs w:val="16"/>
                <w:shd w:val="clear" w:color="auto" w:fill="FFFFFF"/>
              </w:rPr>
              <w:t xml:space="preserve"> es necesario conservar la </w:t>
            </w:r>
            <w:r w:rsidRPr="009E5AA3">
              <w:rPr>
                <w:rFonts w:ascii="Arial" w:hAnsi="Arial" w:cs="Arial"/>
                <w:b/>
                <w:color w:val="222222"/>
                <w:sz w:val="16"/>
                <w:szCs w:val="16"/>
                <w:shd w:val="clear" w:color="auto" w:fill="FFFFFF"/>
              </w:rPr>
              <w:t>reserva sumarial</w:t>
            </w:r>
            <w:r w:rsidRPr="009E5AA3">
              <w:rPr>
                <w:rFonts w:ascii="Arial" w:hAnsi="Arial" w:cs="Arial"/>
                <w:color w:val="222222"/>
                <w:sz w:val="16"/>
                <w:szCs w:val="16"/>
                <w:shd w:val="clear" w:color="auto" w:fill="FFFFFF"/>
              </w:rPr>
              <w:t>, razón por la que no se adjunta la resolución.</w:t>
            </w:r>
          </w:p>
        </w:tc>
      </w:tr>
    </w:tbl>
    <w:p w:rsidR="00A3545A" w:rsidRPr="00F73BBA" w:rsidRDefault="00A3545A" w:rsidP="00A3545A">
      <w:pPr>
        <w:spacing w:after="0" w:line="240" w:lineRule="auto"/>
        <w:rPr>
          <w:rFonts w:ascii="Arial" w:hAnsi="Arial" w:cs="Arial"/>
          <w:sz w:val="28"/>
          <w:szCs w:val="28"/>
          <w:lang w:val="es-ES"/>
        </w:rPr>
      </w:pPr>
    </w:p>
    <w:p w:rsidR="00A3545A" w:rsidRPr="00353FF7" w:rsidRDefault="00A3545A" w:rsidP="00A3545A">
      <w:pPr>
        <w:spacing w:after="0" w:line="240" w:lineRule="auto"/>
        <w:jc w:val="center"/>
        <w:rPr>
          <w:rFonts w:ascii="Arial" w:hAnsi="Arial" w:cs="Arial"/>
          <w:b/>
          <w:bCs/>
          <w:lang w:val="es-ES"/>
        </w:rPr>
      </w:pPr>
      <w:r w:rsidRPr="00353FF7">
        <w:rPr>
          <w:rFonts w:ascii="Arial" w:hAnsi="Arial" w:cs="Arial"/>
          <w:b/>
          <w:bCs/>
          <w:lang w:val="es-ES"/>
        </w:rPr>
        <w:t>FRANCIA LUCY BARRERO ÁNGEL</w:t>
      </w:r>
    </w:p>
    <w:p w:rsidR="00A3545A" w:rsidRPr="00F73BBA" w:rsidRDefault="00A3545A" w:rsidP="00A3545A">
      <w:pPr>
        <w:spacing w:after="0" w:line="240" w:lineRule="auto"/>
        <w:jc w:val="center"/>
        <w:rPr>
          <w:rFonts w:ascii="Arial" w:hAnsi="Arial" w:cs="Arial"/>
          <w:sz w:val="28"/>
          <w:szCs w:val="28"/>
          <w:lang w:val="es-ES"/>
        </w:rPr>
      </w:pPr>
      <w:r w:rsidRPr="00F73BBA">
        <w:rPr>
          <w:rFonts w:ascii="Arial" w:hAnsi="Arial" w:cs="Arial"/>
          <w:sz w:val="28"/>
          <w:szCs w:val="28"/>
          <w:lang w:val="es-ES"/>
        </w:rPr>
        <w:t>Asistente de Fiscal II</w:t>
      </w:r>
    </w:p>
    <w:p w:rsidR="00A3545A" w:rsidRPr="00F73BBA" w:rsidRDefault="00A3545A" w:rsidP="00A3545A">
      <w:pPr>
        <w:spacing w:after="0" w:line="240" w:lineRule="auto"/>
        <w:ind w:left="-709" w:right="-660"/>
        <w:rPr>
          <w:rFonts w:ascii="Arial" w:hAnsi="Arial" w:cs="Arial"/>
          <w:sz w:val="28"/>
          <w:szCs w:val="28"/>
          <w:lang w:val="es-ES"/>
        </w:rPr>
      </w:pPr>
    </w:p>
    <w:p w:rsidR="00A3545A" w:rsidRDefault="00A3545A" w:rsidP="00A3545A">
      <w:pPr>
        <w:spacing w:after="0" w:line="240" w:lineRule="auto"/>
        <w:ind w:left="-709" w:right="-660"/>
        <w:jc w:val="both"/>
        <w:rPr>
          <w:rFonts w:ascii="Arial" w:hAnsi="Arial" w:cs="Arial"/>
          <w:sz w:val="28"/>
          <w:szCs w:val="28"/>
          <w:lang w:val="es-ES"/>
        </w:rPr>
      </w:pPr>
      <w:r w:rsidRPr="00F73BBA">
        <w:rPr>
          <w:rFonts w:ascii="Arial" w:hAnsi="Arial" w:cs="Arial"/>
          <w:sz w:val="28"/>
          <w:szCs w:val="28"/>
          <w:lang w:val="es-ES"/>
        </w:rPr>
        <w:t>La suscrita Asistente de Fiscal adscrita al Despacho 22 DECOC hace constar que la providencia arriba relacionada, fue notificad</w:t>
      </w:r>
      <w:r>
        <w:rPr>
          <w:rFonts w:ascii="Arial" w:hAnsi="Arial" w:cs="Arial"/>
          <w:sz w:val="28"/>
          <w:szCs w:val="28"/>
          <w:lang w:val="es-ES"/>
        </w:rPr>
        <w:t>a</w:t>
      </w:r>
      <w:r w:rsidRPr="00F73BBA">
        <w:rPr>
          <w:rFonts w:ascii="Arial" w:hAnsi="Arial" w:cs="Arial"/>
          <w:sz w:val="28"/>
          <w:szCs w:val="28"/>
          <w:lang w:val="es-ES"/>
        </w:rPr>
        <w:t xml:space="preserve"> por Estado de conformidad con el </w:t>
      </w:r>
      <w:r w:rsidRPr="001F3FE3">
        <w:rPr>
          <w:rFonts w:ascii="Arial" w:hAnsi="Arial" w:cs="Arial"/>
          <w:sz w:val="28"/>
          <w:szCs w:val="28"/>
          <w:lang w:val="es-ES"/>
        </w:rPr>
        <w:t>Artículo 179 del C.P.P. Ley 600 de 2000, en el Estado No. 0</w:t>
      </w:r>
      <w:r>
        <w:rPr>
          <w:rFonts w:ascii="Arial" w:hAnsi="Arial" w:cs="Arial"/>
          <w:sz w:val="28"/>
          <w:szCs w:val="28"/>
          <w:lang w:val="es-ES"/>
        </w:rPr>
        <w:t>08</w:t>
      </w:r>
      <w:r w:rsidRPr="001F3FE3">
        <w:rPr>
          <w:rFonts w:ascii="Arial" w:hAnsi="Arial" w:cs="Arial"/>
          <w:sz w:val="28"/>
          <w:szCs w:val="28"/>
          <w:lang w:val="es-ES"/>
        </w:rPr>
        <w:t xml:space="preserve">-22 del </w:t>
      </w:r>
      <w:r>
        <w:rPr>
          <w:rFonts w:ascii="Arial" w:hAnsi="Arial" w:cs="Arial"/>
          <w:sz w:val="28"/>
          <w:szCs w:val="28"/>
          <w:lang w:val="es-ES"/>
        </w:rPr>
        <w:t>28</w:t>
      </w:r>
      <w:r w:rsidRPr="001F3FE3">
        <w:rPr>
          <w:rFonts w:ascii="Arial" w:hAnsi="Arial" w:cs="Arial"/>
          <w:sz w:val="28"/>
          <w:szCs w:val="28"/>
          <w:lang w:val="es-ES"/>
        </w:rPr>
        <w:t xml:space="preserve"> de </w:t>
      </w:r>
      <w:r>
        <w:rPr>
          <w:rFonts w:ascii="Arial" w:hAnsi="Arial" w:cs="Arial"/>
          <w:sz w:val="28"/>
          <w:szCs w:val="28"/>
          <w:lang w:val="es-ES"/>
        </w:rPr>
        <w:t>mayo</w:t>
      </w:r>
      <w:r w:rsidRPr="001F3FE3">
        <w:rPr>
          <w:rFonts w:ascii="Arial" w:hAnsi="Arial" w:cs="Arial"/>
          <w:sz w:val="28"/>
          <w:szCs w:val="28"/>
          <w:lang w:val="es-ES"/>
        </w:rPr>
        <w:t xml:space="preserve"> de</w:t>
      </w:r>
      <w:r>
        <w:rPr>
          <w:rFonts w:ascii="Arial" w:hAnsi="Arial" w:cs="Arial"/>
          <w:sz w:val="28"/>
          <w:szCs w:val="28"/>
          <w:lang w:val="es-ES"/>
        </w:rPr>
        <w:t xml:space="preserve"> 2025</w:t>
      </w:r>
      <w:r w:rsidRPr="00F73BBA">
        <w:rPr>
          <w:rFonts w:ascii="Arial" w:hAnsi="Arial" w:cs="Arial"/>
          <w:sz w:val="28"/>
          <w:szCs w:val="28"/>
          <w:lang w:val="es-ES"/>
        </w:rPr>
        <w:t>, el cual permaneció fijado desde las 08:00 a.m. hasta las 0</w:t>
      </w:r>
      <w:r>
        <w:rPr>
          <w:rFonts w:ascii="Arial" w:hAnsi="Arial" w:cs="Arial"/>
          <w:sz w:val="28"/>
          <w:szCs w:val="28"/>
          <w:lang w:val="es-ES"/>
        </w:rPr>
        <w:t>5</w:t>
      </w:r>
      <w:r w:rsidRPr="00F73BBA">
        <w:rPr>
          <w:rFonts w:ascii="Arial" w:hAnsi="Arial" w:cs="Arial"/>
          <w:sz w:val="28"/>
          <w:szCs w:val="28"/>
          <w:lang w:val="es-ES"/>
        </w:rPr>
        <w:t>:00 p.m., en un lugar público y visible de la Secretaría Administrativa de la Dirección Especializada contra Organizaciones Criminales (DECOC).</w:t>
      </w:r>
    </w:p>
    <w:bookmarkEnd w:id="0"/>
    <w:p w:rsidR="0036204E" w:rsidRDefault="0036204E"/>
    <w:sectPr w:rsidR="0036204E" w:rsidSect="00A3545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5A"/>
    <w:rsid w:val="0036204E"/>
    <w:rsid w:val="004229B2"/>
    <w:rsid w:val="00A35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5B7C8-9A5E-4F65-8967-732B9B13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45A"/>
    <w:pPr>
      <w:spacing w:line="278"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545A"/>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Francia Lucy Barrero Angel</dc:creator>
  <cp:keywords/>
  <dc:description/>
  <cp:lastModifiedBy>Francia Lucy Barrero Angel</cp:lastModifiedBy>
  <cp:revision>2</cp:revision>
  <dcterms:created xsi:type="dcterms:W3CDTF">2025-05-27T16:33:00Z</dcterms:created>
  <dcterms:modified xsi:type="dcterms:W3CDTF">2025-05-27T16:33:00Z</dcterms:modified>
</cp:coreProperties>
</file>