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7F03" w14:textId="5D13D9ED" w:rsidR="00E71823" w:rsidRPr="008D168F" w:rsidRDefault="00E71823" w:rsidP="00E71823">
      <w:pPr>
        <w:jc w:val="both"/>
        <w:rPr>
          <w:rFonts w:ascii="Times New Roman" w:hAnsi="Times New Roman" w:cs="Times New Roman"/>
          <w:sz w:val="23"/>
          <w:szCs w:val="23"/>
          <w:lang w:val="en-US"/>
        </w:rPr>
      </w:pPr>
      <w:bookmarkStart w:id="0" w:name="_GoBack"/>
      <w:bookmarkEnd w:id="0"/>
      <w:r w:rsidRPr="008D168F">
        <w:rPr>
          <w:rFonts w:ascii="Times New Roman" w:hAnsi="Times New Roman" w:cs="Times New Roman"/>
          <w:sz w:val="23"/>
          <w:szCs w:val="23"/>
          <w:lang w:val="en-US"/>
        </w:rPr>
        <w:t>The Office of the Attorney General of the Republic of Colombia sincerely greets the Organization of American States, the Inter-American Commission on Human Rights, the Mission of the United Nations Organization in Colombia, the High Commissioner of the United Nations for Human Rights and its representative in Colombia, for the purpose of rendering a report on the investigative actions of this Institution, on the occasion of the events that occurred in the framework of the national strike, from April 28, 2021 to May 17, 2021.</w:t>
      </w:r>
    </w:p>
    <w:p w14:paraId="19A96E95" w14:textId="77777777" w:rsidR="00E71823" w:rsidRPr="008D168F" w:rsidRDefault="00E71823" w:rsidP="00E71823">
      <w:pPr>
        <w:jc w:val="both"/>
        <w:rPr>
          <w:rFonts w:ascii="Times New Roman" w:hAnsi="Times New Roman" w:cs="Times New Roman"/>
          <w:sz w:val="23"/>
          <w:szCs w:val="23"/>
          <w:lang w:val="en-US"/>
        </w:rPr>
      </w:pPr>
    </w:p>
    <w:p w14:paraId="63BAB799" w14:textId="2717B724" w:rsidR="00E71823" w:rsidRPr="008D168F" w:rsidRDefault="00E71823" w:rsidP="00E71823">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In this report, reference will be made to the following points: </w:t>
      </w:r>
      <w:r w:rsidRPr="008D168F">
        <w:rPr>
          <w:rFonts w:ascii="Times New Roman" w:hAnsi="Times New Roman" w:cs="Times New Roman"/>
          <w:b/>
          <w:bCs/>
          <w:i/>
          <w:iCs/>
          <w:sz w:val="23"/>
          <w:szCs w:val="23"/>
          <w:lang w:val="en-US"/>
        </w:rPr>
        <w:t>i)</w:t>
      </w:r>
      <w:r w:rsidRPr="008D168F">
        <w:rPr>
          <w:rFonts w:ascii="Times New Roman" w:hAnsi="Times New Roman" w:cs="Times New Roman"/>
          <w:sz w:val="23"/>
          <w:szCs w:val="23"/>
          <w:lang w:val="en-US"/>
        </w:rPr>
        <w:t xml:space="preserve"> social protest in international human rights law, </w:t>
      </w:r>
      <w:r w:rsidRPr="008D168F">
        <w:rPr>
          <w:rFonts w:ascii="Times New Roman" w:hAnsi="Times New Roman" w:cs="Times New Roman"/>
          <w:b/>
          <w:bCs/>
          <w:i/>
          <w:iCs/>
          <w:sz w:val="23"/>
          <w:szCs w:val="23"/>
          <w:lang w:val="en-US"/>
        </w:rPr>
        <w:t>ii)</w:t>
      </w:r>
      <w:r w:rsidRPr="008D168F">
        <w:rPr>
          <w:rFonts w:ascii="Times New Roman" w:hAnsi="Times New Roman" w:cs="Times New Roman"/>
          <w:sz w:val="23"/>
          <w:szCs w:val="23"/>
          <w:lang w:val="en-US"/>
        </w:rPr>
        <w:t xml:space="preserve"> the obligation to investigate criminal acts within the framework of peaceful strike, </w:t>
      </w:r>
      <w:r w:rsidRPr="008D168F">
        <w:rPr>
          <w:rFonts w:ascii="Times New Roman" w:hAnsi="Times New Roman" w:cs="Times New Roman"/>
          <w:b/>
          <w:bCs/>
          <w:i/>
          <w:iCs/>
          <w:sz w:val="23"/>
          <w:szCs w:val="23"/>
          <w:lang w:val="en-US"/>
        </w:rPr>
        <w:t>iii)</w:t>
      </w:r>
      <w:r w:rsidRPr="008D168F">
        <w:rPr>
          <w:rFonts w:ascii="Times New Roman" w:hAnsi="Times New Roman" w:cs="Times New Roman"/>
          <w:sz w:val="23"/>
          <w:szCs w:val="23"/>
          <w:lang w:val="en-US"/>
        </w:rPr>
        <w:t xml:space="preserve"> the connection between access to justice and the rights of victims, </w:t>
      </w:r>
      <w:r w:rsidRPr="008D168F">
        <w:rPr>
          <w:rFonts w:ascii="Times New Roman" w:hAnsi="Times New Roman" w:cs="Times New Roman"/>
          <w:b/>
          <w:bCs/>
          <w:i/>
          <w:iCs/>
          <w:sz w:val="23"/>
          <w:szCs w:val="23"/>
          <w:lang w:val="en-US"/>
        </w:rPr>
        <w:t>iv)</w:t>
      </w:r>
      <w:r w:rsidRPr="008D168F">
        <w:rPr>
          <w:rFonts w:ascii="Times New Roman" w:hAnsi="Times New Roman" w:cs="Times New Roman"/>
          <w:sz w:val="23"/>
          <w:szCs w:val="23"/>
          <w:lang w:val="en-US"/>
        </w:rPr>
        <w:t xml:space="preserve"> the duty to investigate the conduct of terrorism, </w:t>
      </w:r>
      <w:r w:rsidRPr="008D168F">
        <w:rPr>
          <w:rFonts w:ascii="Times New Roman" w:hAnsi="Times New Roman" w:cs="Times New Roman"/>
          <w:b/>
          <w:bCs/>
          <w:i/>
          <w:iCs/>
          <w:sz w:val="23"/>
          <w:szCs w:val="23"/>
          <w:lang w:val="en-US"/>
        </w:rPr>
        <w:t>v)</w:t>
      </w:r>
      <w:r w:rsidRPr="008D168F">
        <w:rPr>
          <w:rFonts w:ascii="Times New Roman" w:hAnsi="Times New Roman" w:cs="Times New Roman"/>
          <w:sz w:val="23"/>
          <w:szCs w:val="23"/>
          <w:lang w:val="en-US"/>
        </w:rPr>
        <w:t xml:space="preserve"> the duty to investigate acts of sexual violence against women and girls, </w:t>
      </w:r>
      <w:r w:rsidRPr="008D168F">
        <w:rPr>
          <w:rFonts w:ascii="Times New Roman" w:hAnsi="Times New Roman" w:cs="Times New Roman"/>
          <w:b/>
          <w:bCs/>
          <w:i/>
          <w:iCs/>
          <w:sz w:val="23"/>
          <w:szCs w:val="23"/>
          <w:lang w:val="en-US"/>
        </w:rPr>
        <w:t>vi)</w:t>
      </w:r>
      <w:r w:rsidRPr="008D168F">
        <w:rPr>
          <w:rFonts w:ascii="Times New Roman" w:hAnsi="Times New Roman" w:cs="Times New Roman"/>
          <w:sz w:val="23"/>
          <w:szCs w:val="23"/>
          <w:lang w:val="en-US"/>
        </w:rPr>
        <w:t xml:space="preserve"> the actions of the Attorney General’s Office in compliance with the international obligations of the Colombian State, </w:t>
      </w:r>
      <w:r w:rsidRPr="008D168F">
        <w:rPr>
          <w:rFonts w:ascii="Times New Roman" w:hAnsi="Times New Roman" w:cs="Times New Roman"/>
          <w:b/>
          <w:bCs/>
          <w:i/>
          <w:iCs/>
          <w:sz w:val="23"/>
          <w:szCs w:val="23"/>
          <w:lang w:val="en-US"/>
        </w:rPr>
        <w:t>vii)</w:t>
      </w:r>
      <w:r w:rsidRPr="008D168F">
        <w:rPr>
          <w:rFonts w:ascii="Times New Roman" w:hAnsi="Times New Roman" w:cs="Times New Roman"/>
          <w:sz w:val="23"/>
          <w:szCs w:val="23"/>
          <w:lang w:val="en-US"/>
        </w:rPr>
        <w:t xml:space="preserve"> investigative progress in noted cases and </w:t>
      </w:r>
      <w:r w:rsidRPr="008D168F">
        <w:rPr>
          <w:rFonts w:ascii="Times New Roman" w:hAnsi="Times New Roman" w:cs="Times New Roman"/>
          <w:b/>
          <w:bCs/>
          <w:i/>
          <w:iCs/>
          <w:sz w:val="23"/>
          <w:szCs w:val="23"/>
          <w:lang w:val="en-US"/>
        </w:rPr>
        <w:t>viii)</w:t>
      </w:r>
      <w:r w:rsidRPr="008D168F">
        <w:rPr>
          <w:rFonts w:ascii="Times New Roman" w:hAnsi="Times New Roman" w:cs="Times New Roman"/>
          <w:sz w:val="23"/>
          <w:szCs w:val="23"/>
          <w:lang w:val="en-US"/>
        </w:rPr>
        <w:t xml:space="preserve"> conclusions.</w:t>
      </w:r>
    </w:p>
    <w:p w14:paraId="263C505B" w14:textId="77777777" w:rsidR="008E3363" w:rsidRPr="008D168F" w:rsidRDefault="008E3363" w:rsidP="00016E44">
      <w:pPr>
        <w:jc w:val="both"/>
        <w:rPr>
          <w:rFonts w:ascii="Times New Roman" w:hAnsi="Times New Roman" w:cs="Times New Roman"/>
          <w:sz w:val="23"/>
          <w:szCs w:val="23"/>
          <w:lang w:val="en-US"/>
        </w:rPr>
      </w:pPr>
    </w:p>
    <w:p w14:paraId="55B07184" w14:textId="7E5FED60" w:rsidR="008939EE" w:rsidRPr="008D168F" w:rsidRDefault="00E71823" w:rsidP="008939EE">
      <w:pPr>
        <w:pStyle w:val="Prrafodelista"/>
        <w:numPr>
          <w:ilvl w:val="0"/>
          <w:numId w:val="4"/>
        </w:numPr>
        <w:jc w:val="both"/>
        <w:rPr>
          <w:rFonts w:ascii="Times New Roman" w:hAnsi="Times New Roman" w:cs="Times New Roman"/>
          <w:b/>
          <w:bCs/>
          <w:smallCaps/>
          <w:sz w:val="23"/>
          <w:szCs w:val="23"/>
          <w:lang w:val="en-US"/>
        </w:rPr>
      </w:pPr>
      <w:r w:rsidRPr="008D168F">
        <w:rPr>
          <w:rFonts w:ascii="Times New Roman" w:hAnsi="Times New Roman" w:cs="Times New Roman"/>
          <w:b/>
          <w:bCs/>
          <w:smallCaps/>
          <w:sz w:val="23"/>
          <w:szCs w:val="23"/>
          <w:lang w:val="en-US"/>
        </w:rPr>
        <w:t>Social protest in international human rights law</w:t>
      </w:r>
    </w:p>
    <w:p w14:paraId="50EB6145" w14:textId="77777777" w:rsidR="00E71823" w:rsidRPr="008D168F" w:rsidRDefault="00E71823" w:rsidP="00016E44">
      <w:pPr>
        <w:jc w:val="both"/>
        <w:rPr>
          <w:rFonts w:ascii="Times New Roman" w:hAnsi="Times New Roman" w:cs="Times New Roman"/>
          <w:sz w:val="23"/>
          <w:szCs w:val="23"/>
          <w:lang w:val="en-US"/>
        </w:rPr>
      </w:pPr>
    </w:p>
    <w:p w14:paraId="6EBCBCF4" w14:textId="71B93183" w:rsidR="00E71823" w:rsidRPr="008D168F" w:rsidRDefault="00E71823" w:rsidP="00E71823">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In democratic societies, social protest plays a central role as a tool for citizen participation in public affairs</w:t>
      </w:r>
      <w:r w:rsidR="00417579" w:rsidRPr="008D168F">
        <w:rPr>
          <w:rStyle w:val="Refdenotaalpie"/>
          <w:rFonts w:ascii="Times New Roman" w:hAnsi="Times New Roman" w:cs="Times New Roman"/>
          <w:sz w:val="23"/>
          <w:szCs w:val="23"/>
          <w:lang w:val="en-US"/>
        </w:rPr>
        <w:footnoteReference w:id="1"/>
      </w:r>
      <w:r w:rsidR="00417579"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and as a form of expression of demands by the general population</w:t>
      </w:r>
      <w:r w:rsidR="00417579" w:rsidRPr="008D168F">
        <w:rPr>
          <w:rStyle w:val="Refdenotaalpie"/>
          <w:rFonts w:ascii="Times New Roman" w:hAnsi="Times New Roman" w:cs="Times New Roman"/>
          <w:sz w:val="23"/>
          <w:szCs w:val="23"/>
          <w:lang w:val="en-US"/>
        </w:rPr>
        <w:footnoteReference w:id="2"/>
      </w:r>
      <w:r w:rsidRPr="008D168F">
        <w:rPr>
          <w:rFonts w:ascii="Times New Roman" w:hAnsi="Times New Roman" w:cs="Times New Roman"/>
          <w:sz w:val="23"/>
          <w:szCs w:val="23"/>
          <w:lang w:val="en-US"/>
        </w:rPr>
        <w:t xml:space="preserve">. The right to </w:t>
      </w:r>
      <w:r w:rsidR="003D7789" w:rsidRPr="008D168F">
        <w:rPr>
          <w:rFonts w:ascii="Times New Roman" w:hAnsi="Times New Roman" w:cs="Times New Roman"/>
          <w:sz w:val="23"/>
          <w:szCs w:val="23"/>
          <w:lang w:val="en-US"/>
        </w:rPr>
        <w:t>strike</w:t>
      </w:r>
      <w:r w:rsidRPr="008D168F">
        <w:rPr>
          <w:rFonts w:ascii="Times New Roman" w:hAnsi="Times New Roman" w:cs="Times New Roman"/>
          <w:sz w:val="23"/>
          <w:szCs w:val="23"/>
          <w:lang w:val="en-US"/>
        </w:rPr>
        <w:t xml:space="preserve"> peacefully is not only protected by the Political Constitution of </w:t>
      </w:r>
      <w:r w:rsidR="003D7789" w:rsidRPr="008D168F">
        <w:rPr>
          <w:rFonts w:ascii="Times New Roman" w:hAnsi="Times New Roman" w:cs="Times New Roman"/>
          <w:sz w:val="23"/>
          <w:szCs w:val="23"/>
          <w:lang w:val="en-US"/>
        </w:rPr>
        <w:t>Colombia</w:t>
      </w:r>
      <w:r w:rsidR="003D7789" w:rsidRPr="008D168F">
        <w:rPr>
          <w:rStyle w:val="Refdenotaalpie"/>
          <w:rFonts w:ascii="Times New Roman" w:hAnsi="Times New Roman" w:cs="Times New Roman"/>
          <w:sz w:val="23"/>
          <w:szCs w:val="23"/>
          <w:lang w:val="en-US"/>
        </w:rPr>
        <w:footnoteReference w:id="3"/>
      </w:r>
      <w:r w:rsidRPr="008D168F">
        <w:rPr>
          <w:rFonts w:ascii="Times New Roman" w:hAnsi="Times New Roman" w:cs="Times New Roman"/>
          <w:sz w:val="23"/>
          <w:szCs w:val="23"/>
          <w:lang w:val="en-US"/>
        </w:rPr>
        <w:t>, but also by international human rights law.</w:t>
      </w:r>
    </w:p>
    <w:p w14:paraId="59A9DC3E" w14:textId="77777777" w:rsidR="00E71823" w:rsidRPr="008D168F" w:rsidRDefault="00E71823" w:rsidP="00E71823">
      <w:pPr>
        <w:jc w:val="both"/>
        <w:rPr>
          <w:rFonts w:ascii="Times New Roman" w:hAnsi="Times New Roman" w:cs="Times New Roman"/>
          <w:sz w:val="23"/>
          <w:szCs w:val="23"/>
          <w:lang w:val="en-US"/>
        </w:rPr>
      </w:pPr>
    </w:p>
    <w:p w14:paraId="5A956F69" w14:textId="53932F9A" w:rsidR="0000758C" w:rsidRPr="008D168F" w:rsidRDefault="00E71823" w:rsidP="00016E44">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Under the inter-American system, the States have the obligation to respect, protect, and guarantee human rights within the framework of social protest, in strict observance of </w:t>
      </w:r>
      <w:r w:rsidR="00B61B0F" w:rsidRPr="008D168F">
        <w:rPr>
          <w:rFonts w:ascii="Times New Roman" w:hAnsi="Times New Roman" w:cs="Times New Roman"/>
          <w:sz w:val="23"/>
          <w:szCs w:val="23"/>
          <w:lang w:val="en-US"/>
        </w:rPr>
        <w:t>a</w:t>
      </w:r>
      <w:r w:rsidRPr="008D168F">
        <w:rPr>
          <w:rFonts w:ascii="Times New Roman" w:hAnsi="Times New Roman" w:cs="Times New Roman"/>
          <w:sz w:val="23"/>
          <w:szCs w:val="23"/>
          <w:lang w:val="en-US"/>
        </w:rPr>
        <w:t>rticle 1.1 of the American Convention on Human Rights (hereinafter, “ACHR”). Specifically, both the Inter-American Commission on Human Rights (hereinafter, “IACHR”) and the Inter-American Court of Human Rights (hereinafter, “Inter-American Court”) have recognized that the exercise of social protest is protected by the right to freedom of expression</w:t>
      </w:r>
      <w:r w:rsidR="00B61B0F" w:rsidRPr="008D168F">
        <w:rPr>
          <w:rStyle w:val="Refdenotaalpie"/>
          <w:rFonts w:ascii="Times New Roman" w:hAnsi="Times New Roman" w:cs="Times New Roman"/>
          <w:sz w:val="23"/>
          <w:szCs w:val="23"/>
          <w:lang w:val="en-US"/>
        </w:rPr>
        <w:footnoteReference w:id="4"/>
      </w:r>
      <w:r w:rsidRPr="008D168F">
        <w:rPr>
          <w:rFonts w:ascii="Times New Roman" w:hAnsi="Times New Roman" w:cs="Times New Roman"/>
          <w:sz w:val="23"/>
          <w:szCs w:val="23"/>
          <w:lang w:val="en-US"/>
        </w:rPr>
        <w:t>, the right to peaceful assembly or congregation</w:t>
      </w:r>
      <w:r w:rsidR="00B61B0F" w:rsidRPr="008D168F">
        <w:rPr>
          <w:rStyle w:val="Refdenotaalpie"/>
          <w:rFonts w:ascii="Times New Roman" w:hAnsi="Times New Roman" w:cs="Times New Roman"/>
          <w:sz w:val="23"/>
          <w:szCs w:val="23"/>
          <w:lang w:val="en-US"/>
        </w:rPr>
        <w:footnoteReference w:id="5"/>
      </w:r>
      <w:r w:rsidRPr="008D168F">
        <w:rPr>
          <w:rFonts w:ascii="Times New Roman" w:hAnsi="Times New Roman" w:cs="Times New Roman"/>
          <w:sz w:val="23"/>
          <w:szCs w:val="23"/>
          <w:lang w:val="en-US"/>
        </w:rPr>
        <w:t>, the right to freedom of association</w:t>
      </w:r>
      <w:r w:rsidR="00E43EC9" w:rsidRPr="008D168F">
        <w:rPr>
          <w:rStyle w:val="Refdenotaalpie"/>
          <w:rFonts w:ascii="Times New Roman" w:hAnsi="Times New Roman" w:cs="Times New Roman"/>
          <w:sz w:val="23"/>
          <w:szCs w:val="23"/>
          <w:lang w:val="en-US"/>
        </w:rPr>
        <w:footnoteReference w:id="6"/>
      </w:r>
      <w:r w:rsidRPr="008D168F">
        <w:rPr>
          <w:rFonts w:ascii="Times New Roman" w:hAnsi="Times New Roman" w:cs="Times New Roman"/>
          <w:sz w:val="23"/>
          <w:szCs w:val="23"/>
          <w:lang w:val="en-US"/>
        </w:rPr>
        <w:t xml:space="preserve"> and the right to political participation</w:t>
      </w:r>
      <w:r w:rsidR="00E43EC9" w:rsidRPr="008D168F">
        <w:rPr>
          <w:rStyle w:val="Refdenotaalpie"/>
          <w:rFonts w:ascii="Times New Roman" w:hAnsi="Times New Roman" w:cs="Times New Roman"/>
          <w:sz w:val="23"/>
          <w:szCs w:val="23"/>
          <w:lang w:val="en-US"/>
        </w:rPr>
        <w:footnoteReference w:id="7"/>
      </w:r>
      <w:r w:rsidRPr="008D168F">
        <w:rPr>
          <w:rFonts w:ascii="Times New Roman" w:hAnsi="Times New Roman" w:cs="Times New Roman"/>
          <w:sz w:val="23"/>
          <w:szCs w:val="23"/>
          <w:lang w:val="en-US"/>
        </w:rPr>
        <w:t>. Similarly, under the universal system, the protection of social protest is provided for in the International Covenant on Civil and Political Rights (hereinafter, “ICCPR”), specifically, through the right to freedom of expression</w:t>
      </w:r>
      <w:r w:rsidR="00C84E48" w:rsidRPr="008D168F">
        <w:rPr>
          <w:rStyle w:val="Refdenotaalpie"/>
          <w:rFonts w:ascii="Times New Roman" w:hAnsi="Times New Roman" w:cs="Times New Roman"/>
          <w:sz w:val="23"/>
          <w:szCs w:val="23"/>
          <w:lang w:val="en-US"/>
        </w:rPr>
        <w:footnoteReference w:id="8"/>
      </w:r>
      <w:r w:rsidRPr="008D168F">
        <w:rPr>
          <w:rFonts w:ascii="Times New Roman" w:hAnsi="Times New Roman" w:cs="Times New Roman"/>
          <w:sz w:val="23"/>
          <w:szCs w:val="23"/>
          <w:lang w:val="en-US"/>
        </w:rPr>
        <w:t>, the right to peaceful assembly</w:t>
      </w:r>
      <w:r w:rsidR="00C84E48" w:rsidRPr="008D168F">
        <w:rPr>
          <w:rStyle w:val="Refdenotaalpie"/>
          <w:rFonts w:ascii="Times New Roman" w:hAnsi="Times New Roman" w:cs="Times New Roman"/>
          <w:sz w:val="23"/>
          <w:szCs w:val="23"/>
          <w:lang w:val="en-US"/>
        </w:rPr>
        <w:footnoteReference w:id="9"/>
      </w:r>
      <w:r w:rsidRPr="008D168F">
        <w:rPr>
          <w:rFonts w:ascii="Times New Roman" w:hAnsi="Times New Roman" w:cs="Times New Roman"/>
          <w:sz w:val="23"/>
          <w:szCs w:val="23"/>
          <w:lang w:val="en-US"/>
        </w:rPr>
        <w:t xml:space="preserve"> and freedom of association</w:t>
      </w:r>
      <w:r w:rsidR="002643C8" w:rsidRPr="008D168F">
        <w:rPr>
          <w:rStyle w:val="Refdenotaalpie"/>
          <w:rFonts w:ascii="Times New Roman" w:hAnsi="Times New Roman" w:cs="Times New Roman"/>
          <w:sz w:val="23"/>
          <w:szCs w:val="23"/>
          <w:lang w:val="en-US"/>
        </w:rPr>
        <w:footnoteReference w:id="10"/>
      </w:r>
      <w:r w:rsidR="002643C8" w:rsidRPr="008D168F">
        <w:rPr>
          <w:rFonts w:ascii="Times New Roman" w:hAnsi="Times New Roman" w:cs="Times New Roman"/>
          <w:sz w:val="23"/>
          <w:szCs w:val="23"/>
          <w:lang w:val="en-US"/>
        </w:rPr>
        <w:t xml:space="preserve">. </w:t>
      </w:r>
    </w:p>
    <w:p w14:paraId="16B6D49A" w14:textId="18AF4B4C" w:rsidR="00245393" w:rsidRPr="008D168F" w:rsidRDefault="00245393" w:rsidP="00016E44">
      <w:pPr>
        <w:jc w:val="both"/>
        <w:rPr>
          <w:rFonts w:ascii="Times New Roman" w:hAnsi="Times New Roman" w:cs="Times New Roman"/>
          <w:sz w:val="23"/>
          <w:szCs w:val="23"/>
          <w:lang w:val="en-US"/>
        </w:rPr>
      </w:pPr>
    </w:p>
    <w:p w14:paraId="17E85B68" w14:textId="0948DC52" w:rsidR="00245393" w:rsidRPr="008D168F" w:rsidRDefault="00245393" w:rsidP="00016E44">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Now, the exercise of social protest is not unrestricted or unlimited. The universal system recognizes that, for reasons of national security, protection of public safety, public order, health, public morals or </w:t>
      </w:r>
      <w:r w:rsidRPr="008D168F">
        <w:rPr>
          <w:rFonts w:ascii="Times New Roman" w:hAnsi="Times New Roman" w:cs="Times New Roman"/>
          <w:sz w:val="23"/>
          <w:szCs w:val="23"/>
          <w:lang w:val="en-US"/>
        </w:rPr>
        <w:lastRenderedPageBreak/>
        <w:t>rights and freedoms of others, restrictions may be applied to the exercise of social protest that are previously established by law</w:t>
      </w:r>
      <w:r w:rsidR="00BB19BE" w:rsidRPr="008D168F">
        <w:rPr>
          <w:rStyle w:val="Refdenotaalpie"/>
          <w:rFonts w:ascii="Times New Roman" w:hAnsi="Times New Roman" w:cs="Times New Roman"/>
          <w:sz w:val="23"/>
          <w:szCs w:val="23"/>
          <w:lang w:val="en-US"/>
        </w:rPr>
        <w:footnoteReference w:id="11"/>
      </w:r>
      <w:r w:rsidRPr="008D168F">
        <w:rPr>
          <w:rFonts w:ascii="Times New Roman" w:hAnsi="Times New Roman" w:cs="Times New Roman"/>
          <w:sz w:val="23"/>
          <w:szCs w:val="23"/>
          <w:lang w:val="en-US"/>
        </w:rPr>
        <w:t xml:space="preserve">. In the same vein, the IACHR has indicated the duty of the States to act to prevent violent behavior and to ensure the safety of the </w:t>
      </w:r>
      <w:r w:rsidR="00BB19BE" w:rsidRPr="008D168F">
        <w:rPr>
          <w:rFonts w:ascii="Times New Roman" w:hAnsi="Times New Roman" w:cs="Times New Roman"/>
          <w:sz w:val="23"/>
          <w:szCs w:val="23"/>
          <w:lang w:val="en-US"/>
        </w:rPr>
        <w:t>strikers</w:t>
      </w:r>
      <w:r w:rsidRPr="008D168F">
        <w:rPr>
          <w:rFonts w:ascii="Times New Roman" w:hAnsi="Times New Roman" w:cs="Times New Roman"/>
          <w:sz w:val="23"/>
          <w:szCs w:val="23"/>
          <w:lang w:val="en-US"/>
        </w:rPr>
        <w:t>, as well as to maintain public order</w:t>
      </w:r>
      <w:r w:rsidR="005B6572" w:rsidRPr="008D168F">
        <w:rPr>
          <w:rStyle w:val="Refdenotaalpie"/>
          <w:rFonts w:ascii="Times New Roman" w:hAnsi="Times New Roman" w:cs="Times New Roman"/>
          <w:sz w:val="23"/>
          <w:szCs w:val="23"/>
          <w:lang w:val="en-US"/>
        </w:rPr>
        <w:footnoteReference w:id="12"/>
      </w:r>
      <w:r w:rsidRPr="008D168F">
        <w:rPr>
          <w:rFonts w:ascii="Times New Roman" w:hAnsi="Times New Roman" w:cs="Times New Roman"/>
          <w:sz w:val="23"/>
          <w:szCs w:val="23"/>
          <w:lang w:val="en-US"/>
        </w:rPr>
        <w:t>. Finally, Article 15 of the ACHR establishes that peaceful meetings must be conducted without weapons.</w:t>
      </w:r>
    </w:p>
    <w:p w14:paraId="07C30CB8" w14:textId="71ACBC0C" w:rsidR="002643C8" w:rsidRPr="008D168F" w:rsidRDefault="002643C8" w:rsidP="00016E44">
      <w:pPr>
        <w:jc w:val="both"/>
        <w:rPr>
          <w:rFonts w:ascii="Times New Roman" w:hAnsi="Times New Roman" w:cs="Times New Roman"/>
          <w:sz w:val="23"/>
          <w:szCs w:val="23"/>
          <w:lang w:val="en-US"/>
        </w:rPr>
      </w:pPr>
    </w:p>
    <w:p w14:paraId="0AB70B3A" w14:textId="437AFCC9" w:rsidR="008939EE" w:rsidRPr="008D168F" w:rsidRDefault="005B6572" w:rsidP="008939EE">
      <w:pPr>
        <w:pStyle w:val="Prrafodelista"/>
        <w:numPr>
          <w:ilvl w:val="0"/>
          <w:numId w:val="4"/>
        </w:numPr>
        <w:jc w:val="both"/>
        <w:rPr>
          <w:rFonts w:ascii="Times New Roman" w:hAnsi="Times New Roman" w:cs="Times New Roman"/>
          <w:b/>
          <w:bCs/>
          <w:smallCaps/>
          <w:sz w:val="23"/>
          <w:szCs w:val="23"/>
          <w:lang w:val="en-US"/>
        </w:rPr>
      </w:pPr>
      <w:r w:rsidRPr="008D168F">
        <w:rPr>
          <w:rFonts w:ascii="Times New Roman" w:hAnsi="Times New Roman" w:cs="Times New Roman"/>
          <w:b/>
          <w:bCs/>
          <w:smallCaps/>
          <w:sz w:val="23"/>
          <w:szCs w:val="23"/>
          <w:lang w:val="en-US"/>
        </w:rPr>
        <w:t xml:space="preserve">The obligation to investigate criminal acts committed in the framework of the strikes </w:t>
      </w:r>
    </w:p>
    <w:p w14:paraId="0D507A9E" w14:textId="77777777" w:rsidR="008939EE" w:rsidRPr="008D168F" w:rsidRDefault="008939EE" w:rsidP="008939EE">
      <w:pPr>
        <w:pStyle w:val="Prrafodelista"/>
        <w:ind w:left="1080"/>
        <w:jc w:val="both"/>
        <w:rPr>
          <w:rFonts w:ascii="Times New Roman" w:hAnsi="Times New Roman" w:cs="Times New Roman"/>
          <w:sz w:val="23"/>
          <w:szCs w:val="23"/>
          <w:lang w:val="en-US"/>
        </w:rPr>
      </w:pPr>
    </w:p>
    <w:p w14:paraId="6A255709" w14:textId="429E14AD" w:rsidR="003D6F77" w:rsidRPr="008D168F" w:rsidRDefault="003D6F77" w:rsidP="00016E44">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Within the framework of peaceful strikes, both individual and organized criminal acts can take place. This statement by the Attorney General’s Office is limited only to the actors who commit offenses, and in no way annuls or denies the legitimate right to peaceful strike that the Colombian people have exercised since April 28, 2021. The IACHR has been clear in stating that “</w:t>
      </w:r>
      <w:r w:rsidRPr="008D168F">
        <w:rPr>
          <w:rFonts w:ascii="Times New Roman" w:hAnsi="Times New Roman" w:cs="Times New Roman"/>
          <w:i/>
          <w:iCs/>
          <w:sz w:val="23"/>
          <w:szCs w:val="23"/>
          <w:lang w:val="en-US"/>
        </w:rPr>
        <w:t>when some individuals commit acts of violence in the context of a strike, they must be individualized.</w:t>
      </w:r>
      <w:r w:rsidRPr="008D168F">
        <w:rPr>
          <w:rFonts w:ascii="Times New Roman" w:hAnsi="Times New Roman" w:cs="Times New Roman"/>
          <w:sz w:val="23"/>
          <w:szCs w:val="23"/>
          <w:lang w:val="en-US"/>
        </w:rPr>
        <w:t>”</w:t>
      </w:r>
      <w:r w:rsidRPr="008D168F">
        <w:rPr>
          <w:rStyle w:val="Refdenotaalpie"/>
          <w:rFonts w:ascii="Times New Roman" w:hAnsi="Times New Roman" w:cs="Times New Roman"/>
          <w:sz w:val="23"/>
          <w:szCs w:val="23"/>
          <w:lang w:val="en-US"/>
        </w:rPr>
        <w:footnoteReference w:id="13"/>
      </w:r>
      <w:r w:rsidRPr="008D168F">
        <w:rPr>
          <w:rFonts w:ascii="Times New Roman" w:hAnsi="Times New Roman" w:cs="Times New Roman"/>
          <w:sz w:val="23"/>
          <w:szCs w:val="23"/>
          <w:lang w:val="en-US"/>
        </w:rPr>
        <w:t xml:space="preserve"> The criminal and barbaric behavior of some subjects during this situation is diametrically opposed to what is characterized as a peaceful </w:t>
      </w:r>
      <w:r w:rsidR="007034A9" w:rsidRPr="008D168F">
        <w:rPr>
          <w:rFonts w:ascii="Times New Roman" w:hAnsi="Times New Roman" w:cs="Times New Roman"/>
          <w:sz w:val="23"/>
          <w:szCs w:val="23"/>
          <w:lang w:val="en-US"/>
        </w:rPr>
        <w:t>strike</w:t>
      </w:r>
      <w:r w:rsidRPr="008D168F">
        <w:rPr>
          <w:rFonts w:ascii="Times New Roman" w:hAnsi="Times New Roman" w:cs="Times New Roman"/>
          <w:sz w:val="23"/>
          <w:szCs w:val="23"/>
          <w:lang w:val="en-US"/>
        </w:rPr>
        <w:t xml:space="preserve"> in a democratic society. These are acts of insane violence that not only violate and endanger various public goods and fundamental rights of third parties, but also affect those who exercise peaceful </w:t>
      </w:r>
      <w:r w:rsidR="007034A9" w:rsidRPr="008D168F">
        <w:rPr>
          <w:rFonts w:ascii="Times New Roman" w:hAnsi="Times New Roman" w:cs="Times New Roman"/>
          <w:sz w:val="23"/>
          <w:szCs w:val="23"/>
          <w:lang w:val="en-US"/>
        </w:rPr>
        <w:t>strikes</w:t>
      </w:r>
      <w:r w:rsidRPr="008D168F">
        <w:rPr>
          <w:rFonts w:ascii="Times New Roman" w:hAnsi="Times New Roman" w:cs="Times New Roman"/>
          <w:sz w:val="23"/>
          <w:szCs w:val="23"/>
          <w:lang w:val="en-US"/>
        </w:rPr>
        <w:t xml:space="preserve">. The Office of the Attorney General does not seek to criminalize the </w:t>
      </w:r>
      <w:r w:rsidR="00E71C59" w:rsidRPr="008D168F">
        <w:rPr>
          <w:rFonts w:ascii="Times New Roman" w:hAnsi="Times New Roman" w:cs="Times New Roman"/>
          <w:sz w:val="23"/>
          <w:szCs w:val="23"/>
          <w:lang w:val="en-US"/>
        </w:rPr>
        <w:t>strike</w:t>
      </w:r>
      <w:r w:rsidRPr="008D168F">
        <w:rPr>
          <w:rFonts w:ascii="Times New Roman" w:hAnsi="Times New Roman" w:cs="Times New Roman"/>
          <w:sz w:val="23"/>
          <w:szCs w:val="23"/>
          <w:lang w:val="en-US"/>
        </w:rPr>
        <w:t xml:space="preserve">, nor to stigmatize those who participate in it, but to prosecute those who take advantage of its development and commit </w:t>
      </w:r>
      <w:r w:rsidR="00E71C59" w:rsidRPr="008D168F">
        <w:rPr>
          <w:rFonts w:ascii="Times New Roman" w:hAnsi="Times New Roman" w:cs="Times New Roman"/>
          <w:sz w:val="23"/>
          <w:szCs w:val="23"/>
          <w:lang w:val="en-US"/>
        </w:rPr>
        <w:t>offenses</w:t>
      </w:r>
      <w:r w:rsidRPr="008D168F">
        <w:rPr>
          <w:rFonts w:ascii="Times New Roman" w:hAnsi="Times New Roman" w:cs="Times New Roman"/>
          <w:sz w:val="23"/>
          <w:szCs w:val="23"/>
          <w:lang w:val="en-US"/>
        </w:rPr>
        <w:t xml:space="preserve"> in its name.</w:t>
      </w:r>
    </w:p>
    <w:p w14:paraId="2580E4A5" w14:textId="2A689DC1" w:rsidR="001B4202" w:rsidRPr="008D168F" w:rsidRDefault="001B4202" w:rsidP="00016E44">
      <w:pPr>
        <w:jc w:val="both"/>
        <w:rPr>
          <w:rFonts w:ascii="Times New Roman" w:hAnsi="Times New Roman" w:cs="Times New Roman"/>
          <w:sz w:val="23"/>
          <w:szCs w:val="23"/>
          <w:lang w:val="en-US"/>
        </w:rPr>
      </w:pPr>
    </w:p>
    <w:p w14:paraId="0A78C896" w14:textId="0CC1FF72" w:rsidR="00E71C59" w:rsidRPr="008D168F" w:rsidRDefault="00E71C59" w:rsidP="00016E44">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The application of </w:t>
      </w:r>
      <w:r w:rsidRPr="008D168F">
        <w:rPr>
          <w:rFonts w:ascii="Times New Roman" w:hAnsi="Times New Roman" w:cs="Times New Roman"/>
          <w:i/>
          <w:iCs/>
          <w:sz w:val="23"/>
          <w:szCs w:val="23"/>
          <w:lang w:val="en-US"/>
        </w:rPr>
        <w:t>ius puniendi</w:t>
      </w:r>
      <w:r w:rsidRPr="008D168F">
        <w:rPr>
          <w:rFonts w:ascii="Times New Roman" w:hAnsi="Times New Roman" w:cs="Times New Roman"/>
          <w:sz w:val="23"/>
          <w:szCs w:val="23"/>
          <w:lang w:val="en-US"/>
        </w:rPr>
        <w:t xml:space="preserve"> in acts committed during peaceful strikes must satisfy an imperative public interest necessary for the functioning of a democratic society</w:t>
      </w:r>
      <w:r w:rsidRPr="008D168F">
        <w:rPr>
          <w:rStyle w:val="Refdenotaalpie"/>
          <w:rFonts w:ascii="Times New Roman" w:hAnsi="Times New Roman" w:cs="Times New Roman"/>
          <w:sz w:val="23"/>
          <w:szCs w:val="23"/>
          <w:lang w:val="en-US"/>
        </w:rPr>
        <w:footnoteReference w:id="14"/>
      </w:r>
      <w:r w:rsidRPr="008D168F">
        <w:rPr>
          <w:rFonts w:ascii="Times New Roman" w:hAnsi="Times New Roman" w:cs="Times New Roman"/>
          <w:sz w:val="23"/>
          <w:szCs w:val="23"/>
          <w:lang w:val="en-US"/>
        </w:rPr>
        <w:t>. In that sense, there can be no criminal offenses that sanction acts of social protest</w:t>
      </w:r>
      <w:r w:rsidRPr="008D168F">
        <w:rPr>
          <w:rStyle w:val="Refdenotaalpie"/>
          <w:rFonts w:ascii="Times New Roman" w:hAnsi="Times New Roman" w:cs="Times New Roman"/>
          <w:sz w:val="23"/>
          <w:szCs w:val="23"/>
          <w:lang w:val="en-US"/>
        </w:rPr>
        <w:footnoteReference w:id="15"/>
      </w:r>
      <w:r w:rsidRPr="008D168F">
        <w:rPr>
          <w:rFonts w:ascii="Times New Roman" w:hAnsi="Times New Roman" w:cs="Times New Roman"/>
          <w:sz w:val="23"/>
          <w:szCs w:val="23"/>
          <w:lang w:val="en-US"/>
        </w:rPr>
        <w:t>. As will be seen later, the application of criminal law in the context of events that occurred in cities such as Popayán and Cali responds to acts that clearly differ from a peaceful strike.</w:t>
      </w:r>
    </w:p>
    <w:p w14:paraId="6AAAAECE" w14:textId="67AC2207" w:rsidR="00E71C59" w:rsidRPr="008D168F" w:rsidRDefault="00E71C59" w:rsidP="00016E44">
      <w:pPr>
        <w:jc w:val="both"/>
        <w:rPr>
          <w:rFonts w:ascii="Times New Roman" w:hAnsi="Times New Roman" w:cs="Times New Roman"/>
          <w:sz w:val="23"/>
          <w:szCs w:val="23"/>
          <w:lang w:val="en-US"/>
        </w:rPr>
      </w:pPr>
    </w:p>
    <w:p w14:paraId="51A24F11" w14:textId="510FC274" w:rsidR="00127694" w:rsidRPr="008D168F" w:rsidRDefault="00127694" w:rsidP="00016E44">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Thus, protecting human rights within the framework of the strike not only implies guaranteeing that citizens can express themselves and associate freely as a form of political participation, but also guarantee any other right that is put at risk in a peaceful </w:t>
      </w:r>
      <w:r w:rsidR="0024533E" w:rsidRPr="008D168F">
        <w:rPr>
          <w:rFonts w:ascii="Times New Roman" w:hAnsi="Times New Roman" w:cs="Times New Roman"/>
          <w:sz w:val="23"/>
          <w:szCs w:val="23"/>
          <w:lang w:val="en-US"/>
        </w:rPr>
        <w:t>strike</w:t>
      </w:r>
      <w:r w:rsidR="004C7832"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scenario. It cannot be forgotten that, whenever conducts that have the characteristics of a</w:t>
      </w:r>
      <w:r w:rsidR="00124A3B" w:rsidRPr="008D168F">
        <w:rPr>
          <w:rFonts w:ascii="Times New Roman" w:hAnsi="Times New Roman" w:cs="Times New Roman"/>
          <w:sz w:val="23"/>
          <w:szCs w:val="23"/>
          <w:lang w:val="en-US"/>
        </w:rPr>
        <w:t xml:space="preserve">n offense </w:t>
      </w:r>
      <w:r w:rsidRPr="008D168F">
        <w:rPr>
          <w:rFonts w:ascii="Times New Roman" w:hAnsi="Times New Roman" w:cs="Times New Roman"/>
          <w:sz w:val="23"/>
          <w:szCs w:val="23"/>
          <w:lang w:val="en-US"/>
        </w:rPr>
        <w:t xml:space="preserve">occur, the Office of the Attorney General, as part of the Judicial Branch of the public power, must investigate and advance the exercise of </w:t>
      </w:r>
      <w:r w:rsidR="00124A3B" w:rsidRPr="008D168F">
        <w:rPr>
          <w:rFonts w:ascii="Times New Roman" w:hAnsi="Times New Roman" w:cs="Times New Roman"/>
          <w:sz w:val="23"/>
          <w:szCs w:val="23"/>
          <w:lang w:val="en-US"/>
        </w:rPr>
        <w:t xml:space="preserve">the </w:t>
      </w:r>
      <w:r w:rsidRPr="008D168F">
        <w:rPr>
          <w:rFonts w:ascii="Times New Roman" w:hAnsi="Times New Roman" w:cs="Times New Roman"/>
          <w:sz w:val="23"/>
          <w:szCs w:val="23"/>
          <w:lang w:val="en-US"/>
        </w:rPr>
        <w:t>criminal action</w:t>
      </w:r>
      <w:r w:rsidR="00124A3B" w:rsidRPr="008D168F">
        <w:rPr>
          <w:rStyle w:val="Refdenotaalpie"/>
          <w:rFonts w:ascii="Times New Roman" w:hAnsi="Times New Roman" w:cs="Times New Roman"/>
          <w:sz w:val="23"/>
          <w:szCs w:val="23"/>
          <w:lang w:val="en-US"/>
        </w:rPr>
        <w:footnoteReference w:id="16"/>
      </w:r>
      <w:r w:rsidR="00124A3B"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 xml:space="preserve">to guarantee access to the citizen justice. This is also a fundamental right recognized by international human rights law, in articles 8 (judicial protection) and 25 (judicial guarantees) of the ACHR, and article 14 of the ICCPR. Likewise, it should not be overlooked that, when investigating </w:t>
      </w:r>
      <w:r w:rsidR="00124A3B" w:rsidRPr="008D168F">
        <w:rPr>
          <w:rFonts w:ascii="Times New Roman" w:hAnsi="Times New Roman" w:cs="Times New Roman"/>
          <w:sz w:val="23"/>
          <w:szCs w:val="23"/>
          <w:lang w:val="en-US"/>
        </w:rPr>
        <w:t xml:space="preserve">offenses </w:t>
      </w:r>
      <w:r w:rsidRPr="008D168F">
        <w:rPr>
          <w:rFonts w:ascii="Times New Roman" w:hAnsi="Times New Roman" w:cs="Times New Roman"/>
          <w:sz w:val="23"/>
          <w:szCs w:val="23"/>
          <w:lang w:val="en-US"/>
        </w:rPr>
        <w:t xml:space="preserve">committed against leaders and defenders who participate in peaceful </w:t>
      </w:r>
      <w:r w:rsidR="00124A3B" w:rsidRPr="008D168F">
        <w:rPr>
          <w:rFonts w:ascii="Times New Roman" w:hAnsi="Times New Roman" w:cs="Times New Roman"/>
          <w:sz w:val="23"/>
          <w:szCs w:val="23"/>
          <w:lang w:val="en-US"/>
        </w:rPr>
        <w:t>strikes</w:t>
      </w:r>
      <w:r w:rsidRPr="008D168F">
        <w:rPr>
          <w:rFonts w:ascii="Times New Roman" w:hAnsi="Times New Roman" w:cs="Times New Roman"/>
          <w:sz w:val="23"/>
          <w:szCs w:val="23"/>
          <w:lang w:val="en-US"/>
        </w:rPr>
        <w:t>, such as that of Lucas Villa, the investigating body also seeks to create a safer environment for the defense of human rights.</w:t>
      </w:r>
    </w:p>
    <w:p w14:paraId="54F56FF0" w14:textId="0DDEA428" w:rsidR="00AB12D8" w:rsidRPr="008D168F" w:rsidRDefault="00AB12D8" w:rsidP="00016E44">
      <w:pPr>
        <w:jc w:val="both"/>
        <w:rPr>
          <w:rFonts w:ascii="Times New Roman" w:hAnsi="Times New Roman" w:cs="Times New Roman"/>
          <w:sz w:val="23"/>
          <w:szCs w:val="23"/>
          <w:lang w:val="en-US"/>
        </w:rPr>
      </w:pPr>
    </w:p>
    <w:p w14:paraId="2427BB96" w14:textId="3C01C4C5" w:rsidR="000F34A4" w:rsidRPr="008D168F" w:rsidRDefault="000F34A4" w:rsidP="000F34A4">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 Office of the Attorney General of the Republic of Colombia, called to investigate human rights violations committed under the jurisdiction of the Colombian State, undertakes investigations with due diligence</w:t>
      </w:r>
      <w:r w:rsidR="000314AF" w:rsidRPr="008D168F">
        <w:rPr>
          <w:rStyle w:val="Refdenotaalpie"/>
          <w:rFonts w:ascii="Times New Roman" w:hAnsi="Times New Roman" w:cs="Times New Roman"/>
          <w:sz w:val="23"/>
          <w:szCs w:val="23"/>
          <w:lang w:val="en-US"/>
        </w:rPr>
        <w:footnoteReference w:id="17"/>
      </w:r>
      <w:r w:rsidR="000314AF"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ex officio, without delay, in a serious, impartial, prompt, effective, exhaustive, complete and within the standard of reasonable time</w:t>
      </w:r>
      <w:r w:rsidR="000314AF" w:rsidRPr="008D168F">
        <w:rPr>
          <w:rStyle w:val="Refdenotaalpie"/>
          <w:rFonts w:ascii="Times New Roman" w:hAnsi="Times New Roman" w:cs="Times New Roman"/>
          <w:sz w:val="23"/>
          <w:szCs w:val="23"/>
          <w:lang w:val="en-US"/>
        </w:rPr>
        <w:footnoteReference w:id="18"/>
      </w:r>
      <w:r w:rsidR="000314AF"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 xml:space="preserve">The principle of </w:t>
      </w:r>
      <w:r w:rsidR="000314AF" w:rsidRPr="008D168F">
        <w:rPr>
          <w:rFonts w:ascii="Times New Roman" w:hAnsi="Times New Roman" w:cs="Times New Roman"/>
          <w:sz w:val="23"/>
          <w:szCs w:val="23"/>
          <w:lang w:val="en-US"/>
        </w:rPr>
        <w:t xml:space="preserve">comprehensiveness </w:t>
      </w:r>
      <w:r w:rsidRPr="008D168F">
        <w:rPr>
          <w:rFonts w:ascii="Times New Roman" w:hAnsi="Times New Roman" w:cs="Times New Roman"/>
          <w:sz w:val="23"/>
          <w:szCs w:val="23"/>
          <w:lang w:val="en-US"/>
        </w:rPr>
        <w:t xml:space="preserve">has been developed by the Inter-American Court, when evaluating due diligence in the homicide investigation. Said court has established, for this purpose, the following guiding principles: </w:t>
      </w:r>
      <w:r w:rsidRPr="008D168F">
        <w:rPr>
          <w:rFonts w:ascii="Times New Roman" w:hAnsi="Times New Roman" w:cs="Times New Roman"/>
          <w:i/>
          <w:iCs/>
          <w:sz w:val="23"/>
          <w:szCs w:val="23"/>
          <w:lang w:val="en-US"/>
        </w:rPr>
        <w:t>a)</w:t>
      </w:r>
      <w:r w:rsidRPr="008D168F">
        <w:rPr>
          <w:rFonts w:ascii="Times New Roman" w:hAnsi="Times New Roman" w:cs="Times New Roman"/>
          <w:sz w:val="23"/>
          <w:szCs w:val="23"/>
          <w:lang w:val="en-US"/>
        </w:rPr>
        <w:t xml:space="preserve"> identification of the victim, </w:t>
      </w:r>
      <w:r w:rsidRPr="008D168F">
        <w:rPr>
          <w:rFonts w:ascii="Times New Roman" w:hAnsi="Times New Roman" w:cs="Times New Roman"/>
          <w:i/>
          <w:iCs/>
          <w:sz w:val="23"/>
          <w:szCs w:val="23"/>
          <w:lang w:val="en-US"/>
        </w:rPr>
        <w:t>b)</w:t>
      </w:r>
      <w:r w:rsidRPr="008D168F">
        <w:rPr>
          <w:rFonts w:ascii="Times New Roman" w:hAnsi="Times New Roman" w:cs="Times New Roman"/>
          <w:sz w:val="23"/>
          <w:szCs w:val="23"/>
          <w:lang w:val="en-US"/>
        </w:rPr>
        <w:t xml:space="preserve"> recovery and preservation of </w:t>
      </w:r>
      <w:r w:rsidR="004E2E04" w:rsidRPr="008D168F">
        <w:rPr>
          <w:rFonts w:ascii="Times New Roman" w:hAnsi="Times New Roman" w:cs="Times New Roman"/>
          <w:sz w:val="23"/>
          <w:szCs w:val="23"/>
          <w:lang w:val="en-US"/>
        </w:rPr>
        <w:t xml:space="preserve">evidentiary </w:t>
      </w:r>
      <w:r w:rsidRPr="008D168F">
        <w:rPr>
          <w:rFonts w:ascii="Times New Roman" w:hAnsi="Times New Roman" w:cs="Times New Roman"/>
          <w:sz w:val="23"/>
          <w:szCs w:val="23"/>
          <w:lang w:val="en-US"/>
        </w:rPr>
        <w:t xml:space="preserve">material related to the death, </w:t>
      </w:r>
      <w:r w:rsidRPr="008D168F">
        <w:rPr>
          <w:rFonts w:ascii="Times New Roman" w:hAnsi="Times New Roman" w:cs="Times New Roman"/>
          <w:i/>
          <w:iCs/>
          <w:sz w:val="23"/>
          <w:szCs w:val="23"/>
          <w:lang w:val="en-US"/>
        </w:rPr>
        <w:t>c)</w:t>
      </w:r>
      <w:r w:rsidRPr="008D168F">
        <w:rPr>
          <w:rFonts w:ascii="Times New Roman" w:hAnsi="Times New Roman" w:cs="Times New Roman"/>
          <w:sz w:val="23"/>
          <w:szCs w:val="23"/>
          <w:lang w:val="en-US"/>
        </w:rPr>
        <w:t xml:space="preserve"> identification of possible witnesses and obtaining statements in relation to the death </w:t>
      </w:r>
      <w:r w:rsidR="004E2E04" w:rsidRPr="008D168F">
        <w:rPr>
          <w:rFonts w:ascii="Times New Roman" w:hAnsi="Times New Roman" w:cs="Times New Roman"/>
          <w:sz w:val="23"/>
          <w:szCs w:val="23"/>
          <w:lang w:val="en-US"/>
        </w:rPr>
        <w:t>under investigation</w:t>
      </w:r>
      <w:r w:rsidRPr="008D168F">
        <w:rPr>
          <w:rFonts w:ascii="Times New Roman" w:hAnsi="Times New Roman" w:cs="Times New Roman"/>
          <w:sz w:val="23"/>
          <w:szCs w:val="23"/>
          <w:lang w:val="en-US"/>
        </w:rPr>
        <w:t xml:space="preserve">, </w:t>
      </w:r>
      <w:r w:rsidRPr="008D168F">
        <w:rPr>
          <w:rFonts w:ascii="Times New Roman" w:hAnsi="Times New Roman" w:cs="Times New Roman"/>
          <w:i/>
          <w:iCs/>
          <w:sz w:val="23"/>
          <w:szCs w:val="23"/>
          <w:lang w:val="en-US"/>
        </w:rPr>
        <w:t>d)</w:t>
      </w:r>
      <w:r w:rsidRPr="008D168F">
        <w:rPr>
          <w:rFonts w:ascii="Times New Roman" w:hAnsi="Times New Roman" w:cs="Times New Roman"/>
          <w:sz w:val="23"/>
          <w:szCs w:val="23"/>
          <w:lang w:val="en-US"/>
        </w:rPr>
        <w:t xml:space="preserve"> determination of the cause, form, place and time of death, as well as any pattern or practice that may have caused the death, </w:t>
      </w:r>
      <w:r w:rsidRPr="008D168F">
        <w:rPr>
          <w:rFonts w:ascii="Times New Roman" w:hAnsi="Times New Roman" w:cs="Times New Roman"/>
          <w:i/>
          <w:iCs/>
          <w:sz w:val="23"/>
          <w:szCs w:val="23"/>
          <w:lang w:val="en-US"/>
        </w:rPr>
        <w:t>e)</w:t>
      </w:r>
      <w:r w:rsidRPr="008D168F">
        <w:rPr>
          <w:rFonts w:ascii="Times New Roman" w:hAnsi="Times New Roman" w:cs="Times New Roman"/>
          <w:sz w:val="23"/>
          <w:szCs w:val="23"/>
          <w:lang w:val="en-US"/>
        </w:rPr>
        <w:t xml:space="preserve"> exhaustive investigation of the crime scene, through autopsies and analysis of remains rigorously by competent professionals and appropriate procedures, and </w:t>
      </w:r>
      <w:r w:rsidRPr="008D168F">
        <w:rPr>
          <w:rFonts w:ascii="Times New Roman" w:hAnsi="Times New Roman" w:cs="Times New Roman"/>
          <w:i/>
          <w:iCs/>
          <w:sz w:val="23"/>
          <w:szCs w:val="23"/>
          <w:lang w:val="en-US"/>
        </w:rPr>
        <w:t>f)</w:t>
      </w:r>
      <w:r w:rsidRPr="008D168F">
        <w:rPr>
          <w:rFonts w:ascii="Times New Roman" w:hAnsi="Times New Roman" w:cs="Times New Roman"/>
          <w:sz w:val="23"/>
          <w:szCs w:val="23"/>
          <w:lang w:val="en-US"/>
        </w:rPr>
        <w:t xml:space="preserve"> maintenance of the chain of custody</w:t>
      </w:r>
      <w:r w:rsidR="00304911" w:rsidRPr="008D168F">
        <w:rPr>
          <w:rStyle w:val="Refdenotaalpie"/>
          <w:rFonts w:ascii="Times New Roman" w:hAnsi="Times New Roman" w:cs="Times New Roman"/>
          <w:sz w:val="23"/>
          <w:szCs w:val="23"/>
          <w:lang w:val="en-US"/>
        </w:rPr>
        <w:footnoteReference w:id="19"/>
      </w:r>
      <w:r w:rsidR="00304911" w:rsidRPr="008D168F">
        <w:rPr>
          <w:rFonts w:ascii="Times New Roman" w:hAnsi="Times New Roman" w:cs="Times New Roman"/>
          <w:sz w:val="23"/>
          <w:szCs w:val="23"/>
          <w:lang w:val="en-US"/>
        </w:rPr>
        <w:t>.</w:t>
      </w:r>
      <w:r w:rsidRPr="008D168F">
        <w:rPr>
          <w:rFonts w:ascii="Times New Roman" w:hAnsi="Times New Roman" w:cs="Times New Roman"/>
          <w:sz w:val="23"/>
          <w:szCs w:val="23"/>
          <w:lang w:val="en-US"/>
        </w:rPr>
        <w:t xml:space="preserve"> </w:t>
      </w:r>
      <w:r w:rsidR="00304911" w:rsidRPr="008D168F">
        <w:rPr>
          <w:rFonts w:ascii="Times New Roman" w:hAnsi="Times New Roman" w:cs="Times New Roman"/>
          <w:sz w:val="23"/>
          <w:szCs w:val="23"/>
          <w:lang w:val="en-US"/>
        </w:rPr>
        <w:t>Meanwhile</w:t>
      </w:r>
      <w:r w:rsidRPr="008D168F">
        <w:rPr>
          <w:rFonts w:ascii="Times New Roman" w:hAnsi="Times New Roman" w:cs="Times New Roman"/>
          <w:sz w:val="23"/>
          <w:szCs w:val="23"/>
          <w:lang w:val="en-US"/>
        </w:rPr>
        <w:t xml:space="preserve">, in cases of forced disappearance, the Inter-American Court has indicated that the investigation must be aimed at determining the whereabouts of the people and clarifying what happened. </w:t>
      </w:r>
      <w:r w:rsidR="007571DA" w:rsidRPr="008D168F">
        <w:rPr>
          <w:rFonts w:ascii="Times New Roman" w:hAnsi="Times New Roman" w:cs="Times New Roman"/>
          <w:sz w:val="23"/>
          <w:szCs w:val="23"/>
          <w:lang w:val="en-US"/>
        </w:rPr>
        <w:t>District attorneys</w:t>
      </w:r>
      <w:r w:rsidRPr="008D168F">
        <w:rPr>
          <w:rFonts w:ascii="Times New Roman" w:hAnsi="Times New Roman" w:cs="Times New Roman"/>
          <w:sz w:val="23"/>
          <w:szCs w:val="23"/>
          <w:lang w:val="en-US"/>
        </w:rPr>
        <w:t xml:space="preserve"> and investigators must act promptly, ordering timely measures</w:t>
      </w:r>
      <w:r w:rsidR="00951506" w:rsidRPr="008D168F">
        <w:rPr>
          <w:rStyle w:val="Refdenotaalpie"/>
          <w:rFonts w:ascii="Times New Roman" w:hAnsi="Times New Roman" w:cs="Times New Roman"/>
          <w:sz w:val="23"/>
          <w:szCs w:val="23"/>
          <w:lang w:val="en-US"/>
        </w:rPr>
        <w:footnoteReference w:id="20"/>
      </w:r>
      <w:r w:rsidR="00951506" w:rsidRPr="008D168F">
        <w:rPr>
          <w:rFonts w:ascii="Times New Roman" w:hAnsi="Times New Roman" w:cs="Times New Roman"/>
          <w:sz w:val="23"/>
          <w:szCs w:val="23"/>
          <w:lang w:val="en-US"/>
        </w:rPr>
        <w:t>.</w:t>
      </w:r>
    </w:p>
    <w:p w14:paraId="235427D6" w14:textId="77777777" w:rsidR="000F34A4" w:rsidRPr="008D168F" w:rsidRDefault="000F34A4" w:rsidP="000F34A4">
      <w:pPr>
        <w:jc w:val="both"/>
        <w:rPr>
          <w:rFonts w:ascii="Times New Roman" w:hAnsi="Times New Roman" w:cs="Times New Roman"/>
          <w:sz w:val="23"/>
          <w:szCs w:val="23"/>
          <w:lang w:val="en-US"/>
        </w:rPr>
      </w:pPr>
    </w:p>
    <w:p w14:paraId="314C451C" w14:textId="2076A7B4" w:rsidR="000F34A4" w:rsidRPr="008D168F" w:rsidRDefault="000F34A4" w:rsidP="000F34A4">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The Inter-American Court has also echoed what was stated in the </w:t>
      </w:r>
      <w:r w:rsidR="00951506" w:rsidRPr="008D168F">
        <w:rPr>
          <w:rFonts w:ascii="Times New Roman" w:hAnsi="Times New Roman" w:cs="Times New Roman"/>
          <w:sz w:val="23"/>
          <w:szCs w:val="23"/>
          <w:lang w:val="en-US"/>
        </w:rPr>
        <w:t>“</w:t>
      </w:r>
      <w:r w:rsidRPr="008D168F">
        <w:rPr>
          <w:rFonts w:ascii="Times New Roman" w:hAnsi="Times New Roman" w:cs="Times New Roman"/>
          <w:sz w:val="23"/>
          <w:szCs w:val="23"/>
          <w:lang w:val="en-US"/>
        </w:rPr>
        <w:t>Minnesota Protocol on the Investigation of Potentially Unlawful Deaths</w:t>
      </w:r>
      <w:r w:rsidR="00951506" w:rsidRPr="008D168F">
        <w:rPr>
          <w:rFonts w:ascii="Times New Roman" w:hAnsi="Times New Roman" w:cs="Times New Roman"/>
          <w:sz w:val="23"/>
          <w:szCs w:val="23"/>
          <w:lang w:val="en-US"/>
        </w:rPr>
        <w:t>”</w:t>
      </w:r>
      <w:r w:rsidRPr="008D168F">
        <w:rPr>
          <w:rFonts w:ascii="Times New Roman" w:hAnsi="Times New Roman" w:cs="Times New Roman"/>
          <w:sz w:val="23"/>
          <w:szCs w:val="23"/>
          <w:lang w:val="en-US"/>
        </w:rPr>
        <w:t xml:space="preserve">, of 2016, which </w:t>
      </w:r>
      <w:r w:rsidR="00951506" w:rsidRPr="008D168F">
        <w:rPr>
          <w:rFonts w:ascii="Times New Roman" w:hAnsi="Times New Roman" w:cs="Times New Roman"/>
          <w:sz w:val="23"/>
          <w:szCs w:val="23"/>
          <w:lang w:val="en-US"/>
        </w:rPr>
        <w:t>“</w:t>
      </w:r>
      <w:r w:rsidRPr="008D168F">
        <w:rPr>
          <w:rFonts w:ascii="Times New Roman" w:hAnsi="Times New Roman" w:cs="Times New Roman"/>
          <w:i/>
          <w:iCs/>
          <w:sz w:val="23"/>
          <w:szCs w:val="23"/>
          <w:lang w:val="en-US"/>
        </w:rPr>
        <w:t>establishes a common standard of performance in the investigation of a potentially unlawful death or a suspected disappearance forced</w:t>
      </w:r>
      <w:r w:rsidRPr="008D168F">
        <w:rPr>
          <w:rFonts w:ascii="Times New Roman" w:hAnsi="Times New Roman" w:cs="Times New Roman"/>
          <w:sz w:val="23"/>
          <w:szCs w:val="23"/>
          <w:lang w:val="en-US"/>
        </w:rPr>
        <w:t>”</w:t>
      </w:r>
      <w:r w:rsidR="00951506" w:rsidRPr="008D168F">
        <w:rPr>
          <w:rStyle w:val="Refdenotaalpie"/>
          <w:rFonts w:ascii="Times New Roman" w:hAnsi="Times New Roman" w:cs="Times New Roman"/>
          <w:sz w:val="23"/>
          <w:szCs w:val="23"/>
          <w:lang w:val="en-US"/>
        </w:rPr>
        <w:t xml:space="preserve"> </w:t>
      </w:r>
      <w:r w:rsidR="00951506" w:rsidRPr="008D168F">
        <w:rPr>
          <w:rStyle w:val="Refdenotaalpie"/>
          <w:rFonts w:ascii="Times New Roman" w:hAnsi="Times New Roman" w:cs="Times New Roman"/>
          <w:sz w:val="23"/>
          <w:szCs w:val="23"/>
          <w:lang w:val="en-US"/>
        </w:rPr>
        <w:footnoteReference w:id="21"/>
      </w:r>
      <w:r w:rsidR="00951506"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This has been recognized by said court as an applicable international standard when evaluating due diligence in a criminal investigation.</w:t>
      </w:r>
    </w:p>
    <w:p w14:paraId="7D4705B0" w14:textId="77777777" w:rsidR="008939EE" w:rsidRPr="008D168F" w:rsidRDefault="008939EE" w:rsidP="000C1A41">
      <w:pPr>
        <w:jc w:val="both"/>
        <w:rPr>
          <w:rFonts w:ascii="Times New Roman" w:hAnsi="Times New Roman" w:cs="Times New Roman"/>
          <w:sz w:val="23"/>
          <w:szCs w:val="23"/>
          <w:lang w:val="en-US"/>
        </w:rPr>
      </w:pPr>
    </w:p>
    <w:p w14:paraId="19450313" w14:textId="33C2AC87" w:rsidR="008939EE" w:rsidRPr="008D168F" w:rsidRDefault="00866BAA" w:rsidP="008939EE">
      <w:pPr>
        <w:pStyle w:val="Prrafodelista"/>
        <w:numPr>
          <w:ilvl w:val="0"/>
          <w:numId w:val="4"/>
        </w:numPr>
        <w:jc w:val="both"/>
        <w:rPr>
          <w:rFonts w:ascii="Times New Roman" w:hAnsi="Times New Roman" w:cs="Times New Roman"/>
          <w:b/>
          <w:bCs/>
          <w:smallCaps/>
          <w:sz w:val="23"/>
          <w:szCs w:val="23"/>
          <w:lang w:val="en-US"/>
        </w:rPr>
      </w:pPr>
      <w:r w:rsidRPr="008D168F">
        <w:rPr>
          <w:rFonts w:ascii="Times New Roman" w:hAnsi="Times New Roman" w:cs="Times New Roman"/>
          <w:b/>
          <w:bCs/>
          <w:smallCaps/>
          <w:sz w:val="23"/>
          <w:szCs w:val="23"/>
          <w:lang w:val="en-US"/>
        </w:rPr>
        <w:t>The connection between access to justice and the rights of victims</w:t>
      </w:r>
    </w:p>
    <w:p w14:paraId="44E15E11" w14:textId="77777777" w:rsidR="008939EE" w:rsidRPr="008D168F" w:rsidRDefault="008939EE" w:rsidP="000C1A41">
      <w:pPr>
        <w:jc w:val="both"/>
        <w:rPr>
          <w:rFonts w:ascii="Times New Roman" w:hAnsi="Times New Roman" w:cs="Times New Roman"/>
          <w:sz w:val="23"/>
          <w:szCs w:val="23"/>
          <w:lang w:val="en-US"/>
        </w:rPr>
      </w:pPr>
    </w:p>
    <w:p w14:paraId="59E570A9" w14:textId="760C1969" w:rsidR="00866BAA" w:rsidRPr="008D168F" w:rsidRDefault="00866BAA" w:rsidP="000C1A41">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 duty to investigate is intrinsically connected with the right of the victims to obtain truth, justice, reparation and guarantees of non-repetition</w:t>
      </w:r>
      <w:r w:rsidRPr="008D168F">
        <w:rPr>
          <w:rStyle w:val="Refdenotaalpie"/>
          <w:rFonts w:ascii="Times New Roman" w:hAnsi="Times New Roman" w:cs="Times New Roman"/>
          <w:sz w:val="23"/>
          <w:szCs w:val="23"/>
          <w:lang w:val="en-US"/>
        </w:rPr>
        <w:footnoteReference w:id="22"/>
      </w:r>
      <w:r w:rsidRPr="008D168F">
        <w:rPr>
          <w:rFonts w:ascii="Times New Roman" w:hAnsi="Times New Roman" w:cs="Times New Roman"/>
          <w:sz w:val="23"/>
          <w:szCs w:val="23"/>
          <w:lang w:val="en-US"/>
        </w:rPr>
        <w:t>. Research requires, of course, material conditions. Without infrastructure and equipment, it is not possible to carry out an adequate investigation that guarantees the clarification of the facts, since it is difficult to process the material evidence in order to establish the possible authorship or participation in the punishable behaviors. In the case of Popayán, as will be seen in the section below, it is about the impossibility of carrying out investigative work at the scene of the events, given the absolute destruction of the facilities of our institution, on the occasion of the acts of vandalism committed against nothing less than the Colombian justice. Undoubtedly, any damage against the headquarters of the Attorney General</w:t>
      </w:r>
      <w:r w:rsidR="009547F7" w:rsidRPr="008D168F">
        <w:rPr>
          <w:rFonts w:ascii="Times New Roman" w:hAnsi="Times New Roman" w:cs="Times New Roman"/>
          <w:sz w:val="23"/>
          <w:szCs w:val="23"/>
          <w:lang w:val="en-US"/>
        </w:rPr>
        <w:t>’</w:t>
      </w:r>
      <w:r w:rsidRPr="008D168F">
        <w:rPr>
          <w:rFonts w:ascii="Times New Roman" w:hAnsi="Times New Roman" w:cs="Times New Roman"/>
          <w:sz w:val="23"/>
          <w:szCs w:val="23"/>
          <w:lang w:val="en-US"/>
        </w:rPr>
        <w:t xml:space="preserve">s Office violates the right of access to the administration of justice of all citizens </w:t>
      </w:r>
      <w:r w:rsidR="009547F7" w:rsidRPr="008D168F">
        <w:rPr>
          <w:rFonts w:ascii="Times New Roman" w:hAnsi="Times New Roman" w:cs="Times New Roman"/>
          <w:sz w:val="23"/>
          <w:szCs w:val="23"/>
          <w:lang w:val="en-US"/>
        </w:rPr>
        <w:t>on</w:t>
      </w:r>
      <w:r w:rsidRPr="008D168F">
        <w:rPr>
          <w:rFonts w:ascii="Times New Roman" w:hAnsi="Times New Roman" w:cs="Times New Roman"/>
          <w:sz w:val="23"/>
          <w:szCs w:val="23"/>
          <w:lang w:val="en-US"/>
        </w:rPr>
        <w:t xml:space="preserve"> our territory.</w:t>
      </w:r>
    </w:p>
    <w:p w14:paraId="5A42EE64" w14:textId="77777777" w:rsidR="00362EBE" w:rsidRPr="008D168F" w:rsidRDefault="00362EBE" w:rsidP="000C1A41">
      <w:pPr>
        <w:jc w:val="both"/>
        <w:rPr>
          <w:rFonts w:ascii="Times New Roman" w:hAnsi="Times New Roman" w:cs="Times New Roman"/>
          <w:sz w:val="23"/>
          <w:szCs w:val="23"/>
          <w:lang w:val="en-US"/>
        </w:rPr>
      </w:pPr>
    </w:p>
    <w:p w14:paraId="6B28CCBF" w14:textId="2C2B9641" w:rsidR="001B4202" w:rsidRPr="008D168F" w:rsidRDefault="0034120A" w:rsidP="00DF0456">
      <w:pPr>
        <w:pStyle w:val="Prrafodelista"/>
        <w:numPr>
          <w:ilvl w:val="0"/>
          <w:numId w:val="4"/>
        </w:numPr>
        <w:jc w:val="both"/>
        <w:rPr>
          <w:rFonts w:ascii="Times New Roman" w:hAnsi="Times New Roman" w:cs="Times New Roman"/>
          <w:b/>
          <w:bCs/>
          <w:smallCaps/>
          <w:sz w:val="23"/>
          <w:szCs w:val="23"/>
          <w:lang w:val="en-US"/>
        </w:rPr>
      </w:pPr>
      <w:r w:rsidRPr="008D168F">
        <w:rPr>
          <w:rFonts w:ascii="Times New Roman" w:hAnsi="Times New Roman" w:cs="Times New Roman"/>
          <w:b/>
          <w:bCs/>
          <w:smallCaps/>
          <w:sz w:val="23"/>
          <w:szCs w:val="23"/>
          <w:lang w:val="en-US"/>
        </w:rPr>
        <w:t>On the duty to investigate and punish terrorism conduct</w:t>
      </w:r>
    </w:p>
    <w:p w14:paraId="31718F80" w14:textId="6C9AF27F" w:rsidR="001B4202" w:rsidRPr="008D168F" w:rsidRDefault="001B4202" w:rsidP="001B4202">
      <w:pPr>
        <w:jc w:val="both"/>
        <w:rPr>
          <w:rFonts w:ascii="Times New Roman" w:hAnsi="Times New Roman" w:cs="Times New Roman"/>
          <w:sz w:val="23"/>
          <w:szCs w:val="23"/>
          <w:lang w:val="en-US"/>
        </w:rPr>
      </w:pPr>
    </w:p>
    <w:p w14:paraId="6913E87A" w14:textId="77777777" w:rsidR="00BB5595" w:rsidRPr="008D168F" w:rsidRDefault="00BB5595" w:rsidP="00C7254E">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lastRenderedPageBreak/>
        <w:t>The United Nations Security Council, through Resolution No. 1566 of October 8, 2004, enshrined the obligation of all States to cooperate fully in the fight against terrorism. The foregoing includes the duty to punish criminal acts that have the following characteristics:</w:t>
      </w:r>
    </w:p>
    <w:p w14:paraId="24D52130" w14:textId="2F3DE459" w:rsidR="00C7254E" w:rsidRPr="008D168F" w:rsidRDefault="00C7254E" w:rsidP="00C7254E">
      <w:pPr>
        <w:jc w:val="both"/>
        <w:rPr>
          <w:rFonts w:ascii="Times New Roman" w:hAnsi="Times New Roman" w:cs="Times New Roman"/>
          <w:sz w:val="23"/>
          <w:szCs w:val="23"/>
          <w:lang w:val="en-US"/>
        </w:rPr>
      </w:pPr>
    </w:p>
    <w:p w14:paraId="3F88FA27" w14:textId="77777777" w:rsidR="008C2CFA" w:rsidRPr="008D168F" w:rsidRDefault="008C2CFA" w:rsidP="008C2CFA">
      <w:pPr>
        <w:pStyle w:val="Prrafodelista"/>
        <w:numPr>
          <w:ilvl w:val="0"/>
          <w:numId w:val="16"/>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That have been committed, including against civilians, with the intention of causing death or serious bodily injury or taking hostages;</w:t>
      </w:r>
    </w:p>
    <w:p w14:paraId="04F187AF" w14:textId="64D37145" w:rsidR="008C2CFA" w:rsidRPr="008D168F" w:rsidRDefault="008C2CFA" w:rsidP="008C2CFA">
      <w:pPr>
        <w:pStyle w:val="Prrafodelista"/>
        <w:numPr>
          <w:ilvl w:val="0"/>
          <w:numId w:val="16"/>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That they have been committed with the purpose of provoking a state of terror in the general population, in a group of people or in a specific person, intimidating a population or forcing a government or an international organization to carry out an act, or to refrain from perform it; and</w:t>
      </w:r>
    </w:p>
    <w:p w14:paraId="746DFF13" w14:textId="535A3C47" w:rsidR="008C2CFA" w:rsidRPr="008D168F" w:rsidRDefault="008C2CFA" w:rsidP="008C2CFA">
      <w:pPr>
        <w:pStyle w:val="Prrafodelista"/>
        <w:numPr>
          <w:ilvl w:val="0"/>
          <w:numId w:val="16"/>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That constitute offenses defined in the international conventions, conventions and protocols related to terrorism</w:t>
      </w:r>
      <w:r w:rsidR="00910022">
        <w:rPr>
          <w:rFonts w:ascii="Times New Roman" w:hAnsi="Times New Roman" w:cs="Times New Roman"/>
          <w:sz w:val="23"/>
          <w:szCs w:val="23"/>
          <w:lang w:val="en-US"/>
        </w:rPr>
        <w:t>.</w:t>
      </w:r>
    </w:p>
    <w:p w14:paraId="38F3EC9C" w14:textId="77777777" w:rsidR="00C7254E" w:rsidRPr="008D168F" w:rsidRDefault="00C7254E" w:rsidP="00C7254E">
      <w:pPr>
        <w:jc w:val="both"/>
        <w:rPr>
          <w:rFonts w:ascii="Times New Roman" w:hAnsi="Times New Roman" w:cs="Times New Roman"/>
          <w:sz w:val="23"/>
          <w:szCs w:val="23"/>
          <w:lang w:val="en-US"/>
        </w:rPr>
      </w:pPr>
    </w:p>
    <w:p w14:paraId="4B392291" w14:textId="383F3013" w:rsidR="008C2CFA" w:rsidRPr="008D168F" w:rsidRDefault="008C2CFA" w:rsidP="00C7254E">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 acts of barbaric violence committed in different parts of the country within the framework of the strike, on many occasions, in an organized and premeditated manner, have proven to fulfill these three elements.</w:t>
      </w:r>
    </w:p>
    <w:p w14:paraId="41182460" w14:textId="77777777" w:rsidR="001B4202" w:rsidRPr="008D168F" w:rsidRDefault="001B4202" w:rsidP="001B4202">
      <w:pPr>
        <w:jc w:val="both"/>
        <w:rPr>
          <w:rFonts w:ascii="Times New Roman" w:hAnsi="Times New Roman" w:cs="Times New Roman"/>
          <w:b/>
          <w:bCs/>
          <w:i/>
          <w:iCs/>
          <w:sz w:val="23"/>
          <w:szCs w:val="23"/>
          <w:lang w:val="en-US"/>
        </w:rPr>
      </w:pPr>
    </w:p>
    <w:p w14:paraId="6AD08489" w14:textId="5C15C5C3" w:rsidR="00C7254E" w:rsidRPr="008D168F" w:rsidRDefault="008C2CFA" w:rsidP="00914105">
      <w:pPr>
        <w:pStyle w:val="Prrafodelista"/>
        <w:numPr>
          <w:ilvl w:val="0"/>
          <w:numId w:val="4"/>
        </w:numPr>
        <w:jc w:val="both"/>
        <w:rPr>
          <w:rFonts w:ascii="Times New Roman" w:hAnsi="Times New Roman" w:cs="Times New Roman"/>
          <w:smallCaps/>
          <w:sz w:val="23"/>
          <w:szCs w:val="23"/>
          <w:lang w:val="en-US"/>
        </w:rPr>
      </w:pPr>
      <w:r w:rsidRPr="008D168F">
        <w:rPr>
          <w:rFonts w:ascii="Times New Roman" w:hAnsi="Times New Roman" w:cs="Times New Roman"/>
          <w:b/>
          <w:bCs/>
          <w:smallCaps/>
          <w:sz w:val="23"/>
          <w:szCs w:val="23"/>
          <w:lang w:val="en-US"/>
        </w:rPr>
        <w:t>On the duty to investigate offenses of sexual violence against women and girls</w:t>
      </w:r>
    </w:p>
    <w:p w14:paraId="510D930B" w14:textId="77777777" w:rsidR="00C7254E" w:rsidRPr="008D168F" w:rsidRDefault="00C7254E" w:rsidP="000C1A41">
      <w:pPr>
        <w:jc w:val="both"/>
        <w:rPr>
          <w:rFonts w:ascii="Times New Roman" w:hAnsi="Times New Roman" w:cs="Times New Roman"/>
          <w:sz w:val="23"/>
          <w:szCs w:val="23"/>
          <w:lang w:val="en-US"/>
        </w:rPr>
      </w:pPr>
    </w:p>
    <w:p w14:paraId="0C59B883" w14:textId="6A64A27F" w:rsidR="00C7254E" w:rsidRPr="008D168F" w:rsidRDefault="008C2CFA" w:rsidP="000C1A41">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The obligation to investigate offenses of sexual violence against women, in addition to being enshrined in Articles 8 and 25 of the ACHR, is reinforced by </w:t>
      </w:r>
      <w:r w:rsidR="0008045D" w:rsidRPr="008D168F">
        <w:rPr>
          <w:rFonts w:ascii="Times New Roman" w:hAnsi="Times New Roman" w:cs="Times New Roman"/>
          <w:sz w:val="23"/>
          <w:szCs w:val="23"/>
          <w:lang w:val="en-US"/>
        </w:rPr>
        <w:t>a</w:t>
      </w:r>
      <w:r w:rsidRPr="008D168F">
        <w:rPr>
          <w:rFonts w:ascii="Times New Roman" w:hAnsi="Times New Roman" w:cs="Times New Roman"/>
          <w:sz w:val="23"/>
          <w:szCs w:val="23"/>
          <w:lang w:val="en-US"/>
        </w:rPr>
        <w:t>rticle 7.b of the Belém do Pará Convention, which requires States to use the due diligence to prevent, punish and eradicate violence against women</w:t>
      </w:r>
      <w:r w:rsidR="0008045D" w:rsidRPr="008D168F">
        <w:rPr>
          <w:rStyle w:val="Refdenotaalpie"/>
          <w:rFonts w:ascii="Times New Roman" w:hAnsi="Times New Roman" w:cs="Times New Roman"/>
          <w:sz w:val="23"/>
          <w:szCs w:val="23"/>
          <w:lang w:val="en-US"/>
        </w:rPr>
        <w:footnoteReference w:id="23"/>
      </w:r>
      <w:r w:rsidR="0008045D"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It follows from the content of this obligation that the States, when faced with the murder of a woman, must immediately initiate the investigation of possible discriminatory connotations on the basis of gender, especially in the face of signs of sexual violence</w:t>
      </w:r>
      <w:r w:rsidR="0008045D" w:rsidRPr="008D168F">
        <w:rPr>
          <w:rStyle w:val="Refdenotaalpie"/>
          <w:rFonts w:ascii="Times New Roman" w:hAnsi="Times New Roman" w:cs="Times New Roman"/>
          <w:sz w:val="23"/>
          <w:szCs w:val="23"/>
          <w:lang w:val="en-US"/>
        </w:rPr>
        <w:footnoteReference w:id="24"/>
      </w:r>
      <w:r w:rsidR="0008045D"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Likewise, it is essential that “</w:t>
      </w:r>
      <w:r w:rsidRPr="008D168F">
        <w:rPr>
          <w:rFonts w:ascii="Times New Roman" w:hAnsi="Times New Roman" w:cs="Times New Roman"/>
          <w:i/>
          <w:iCs/>
          <w:sz w:val="23"/>
          <w:szCs w:val="23"/>
          <w:lang w:val="en-US"/>
        </w:rPr>
        <w:t>the authorities in charge of the investigation carry it out with determination and efficiency, taking into account the duty of society to reject violence against women and the obligations of the State to eradicate it and give confidence to victims in state institutions for their protection</w:t>
      </w:r>
      <w:r w:rsidR="006315A2" w:rsidRPr="008D168F">
        <w:rPr>
          <w:rStyle w:val="Refdenotaalpie"/>
          <w:rFonts w:ascii="Times New Roman" w:hAnsi="Times New Roman" w:cs="Times New Roman"/>
          <w:sz w:val="23"/>
          <w:szCs w:val="23"/>
          <w:lang w:val="en-US"/>
        </w:rPr>
        <w:footnoteReference w:id="25"/>
      </w:r>
      <w:r w:rsidR="006315A2" w:rsidRPr="008D168F">
        <w:rPr>
          <w:rFonts w:ascii="Times New Roman" w:hAnsi="Times New Roman" w:cs="Times New Roman"/>
          <w:sz w:val="23"/>
          <w:szCs w:val="23"/>
          <w:lang w:val="en-US"/>
        </w:rPr>
        <w:t>.</w:t>
      </w:r>
      <w:r w:rsidRPr="008D168F">
        <w:rPr>
          <w:rFonts w:ascii="Times New Roman" w:hAnsi="Times New Roman" w:cs="Times New Roman"/>
          <w:sz w:val="23"/>
          <w:szCs w:val="23"/>
          <w:lang w:val="en-US"/>
        </w:rPr>
        <w:t xml:space="preserve">” In the particular case of acts of sexual violence against girls, the Inter-American Court has emphasized that </w:t>
      </w:r>
      <w:r w:rsidR="006315A2" w:rsidRPr="008D168F">
        <w:rPr>
          <w:rFonts w:ascii="Times New Roman" w:hAnsi="Times New Roman" w:cs="Times New Roman"/>
          <w:sz w:val="23"/>
          <w:szCs w:val="23"/>
          <w:lang w:val="en-US"/>
        </w:rPr>
        <w:t>a</w:t>
      </w:r>
      <w:r w:rsidRPr="008D168F">
        <w:rPr>
          <w:rFonts w:ascii="Times New Roman" w:hAnsi="Times New Roman" w:cs="Times New Roman"/>
          <w:sz w:val="23"/>
          <w:szCs w:val="23"/>
          <w:lang w:val="en-US"/>
        </w:rPr>
        <w:t>rticle 19 of the ACHR requires specific and special measures for those cases</w:t>
      </w:r>
      <w:r w:rsidR="00C7254E" w:rsidRPr="008D168F">
        <w:rPr>
          <w:rStyle w:val="Refdenotaalpie"/>
          <w:rFonts w:ascii="Times New Roman" w:hAnsi="Times New Roman" w:cs="Times New Roman"/>
          <w:sz w:val="23"/>
          <w:szCs w:val="23"/>
          <w:lang w:val="en-US"/>
        </w:rPr>
        <w:footnoteReference w:id="26"/>
      </w:r>
      <w:r w:rsidR="00C7254E" w:rsidRPr="008D168F">
        <w:rPr>
          <w:rFonts w:ascii="Times New Roman" w:hAnsi="Times New Roman" w:cs="Times New Roman"/>
          <w:sz w:val="23"/>
          <w:szCs w:val="23"/>
          <w:lang w:val="en-US"/>
        </w:rPr>
        <w:t xml:space="preserve">. </w:t>
      </w:r>
    </w:p>
    <w:p w14:paraId="6DFA920C" w14:textId="1ADC7107" w:rsidR="00C7254E" w:rsidRPr="008D168F" w:rsidRDefault="00C7254E" w:rsidP="000C1A41">
      <w:pPr>
        <w:jc w:val="both"/>
        <w:rPr>
          <w:rFonts w:ascii="Times New Roman" w:hAnsi="Times New Roman" w:cs="Times New Roman"/>
          <w:sz w:val="23"/>
          <w:szCs w:val="23"/>
          <w:lang w:val="en-US"/>
        </w:rPr>
      </w:pPr>
    </w:p>
    <w:p w14:paraId="61E2342B" w14:textId="22D232A2" w:rsidR="00E338DB" w:rsidRPr="008D168F" w:rsidRDefault="00E338DB" w:rsidP="000C1A41">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In compliance with the foregoing, the Office of the Attorney General</w:t>
      </w:r>
      <w:r w:rsidR="001426A3"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 xml:space="preserve">has activated its Gender Group at the national level, so that the investigative actions are carried out with this approach. This team has traveled throughout the country to address three lines of investigation: </w:t>
      </w:r>
      <w:r w:rsidR="001426A3" w:rsidRPr="008D168F">
        <w:rPr>
          <w:rFonts w:ascii="Times New Roman" w:hAnsi="Times New Roman" w:cs="Times New Roman"/>
          <w:sz w:val="23"/>
          <w:szCs w:val="23"/>
          <w:lang w:val="en-US"/>
        </w:rPr>
        <w:t>Homicides</w:t>
      </w:r>
      <w:r w:rsidRPr="008D168F">
        <w:rPr>
          <w:rFonts w:ascii="Times New Roman" w:hAnsi="Times New Roman" w:cs="Times New Roman"/>
          <w:sz w:val="23"/>
          <w:szCs w:val="23"/>
          <w:lang w:val="en-US"/>
        </w:rPr>
        <w:t>, abuse of authority and sexual violence. Likewise, in the specific cases described in the sections below, the urgent acts are shown to carry out, in an exhaustive manner, the investigation of the death of the young woman from Popayán.</w:t>
      </w:r>
    </w:p>
    <w:p w14:paraId="56821E56" w14:textId="77777777" w:rsidR="008C2CFA" w:rsidRPr="008D168F" w:rsidRDefault="008C2CFA" w:rsidP="000C1A41">
      <w:pPr>
        <w:jc w:val="both"/>
        <w:rPr>
          <w:rFonts w:ascii="Times New Roman" w:hAnsi="Times New Roman" w:cs="Times New Roman"/>
          <w:sz w:val="23"/>
          <w:szCs w:val="23"/>
          <w:lang w:val="en-US"/>
        </w:rPr>
      </w:pPr>
    </w:p>
    <w:p w14:paraId="28FBF705" w14:textId="62019A70" w:rsidR="008939EE" w:rsidRPr="008D168F" w:rsidRDefault="001B0D69" w:rsidP="008939EE">
      <w:pPr>
        <w:pStyle w:val="Prrafodelista"/>
        <w:numPr>
          <w:ilvl w:val="0"/>
          <w:numId w:val="4"/>
        </w:numPr>
        <w:jc w:val="both"/>
        <w:rPr>
          <w:rFonts w:ascii="Times New Roman" w:hAnsi="Times New Roman" w:cs="Times New Roman"/>
          <w:b/>
          <w:bCs/>
          <w:smallCaps/>
          <w:sz w:val="23"/>
          <w:szCs w:val="23"/>
          <w:lang w:val="en-US"/>
        </w:rPr>
      </w:pPr>
      <w:r w:rsidRPr="008D168F">
        <w:rPr>
          <w:rFonts w:ascii="Times New Roman" w:hAnsi="Times New Roman" w:cs="Times New Roman"/>
          <w:b/>
          <w:bCs/>
          <w:smallCaps/>
          <w:sz w:val="23"/>
          <w:szCs w:val="23"/>
          <w:lang w:val="en-US"/>
        </w:rPr>
        <w:t>The actions of the attorney general’s office in compliance with the international obligations of the colombian state</w:t>
      </w:r>
    </w:p>
    <w:p w14:paraId="4717A90F" w14:textId="77777777" w:rsidR="001B0D69" w:rsidRPr="008D168F" w:rsidRDefault="001B0D69" w:rsidP="000C1A41">
      <w:pPr>
        <w:jc w:val="both"/>
        <w:rPr>
          <w:rFonts w:ascii="Times New Roman" w:hAnsi="Times New Roman" w:cs="Times New Roman"/>
          <w:sz w:val="23"/>
          <w:szCs w:val="23"/>
          <w:lang w:val="en-US"/>
        </w:rPr>
      </w:pPr>
    </w:p>
    <w:p w14:paraId="0C264005" w14:textId="749C7BE4" w:rsidR="001B0D69" w:rsidRPr="008D168F" w:rsidRDefault="001B0D69" w:rsidP="001B0D69">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In application of the aforementioned international standards, the Office of the Attorney General has assumed the legal duty</w:t>
      </w:r>
      <w:r w:rsidR="007E29A6" w:rsidRPr="008D168F">
        <w:rPr>
          <w:rStyle w:val="Refdenotaalpie"/>
          <w:rFonts w:ascii="Times New Roman" w:hAnsi="Times New Roman" w:cs="Times New Roman"/>
          <w:sz w:val="23"/>
          <w:szCs w:val="23"/>
          <w:lang w:val="en-US"/>
        </w:rPr>
        <w:footnoteReference w:id="27"/>
      </w:r>
      <w:r w:rsidR="007E29A6" w:rsidRPr="008D168F">
        <w:rPr>
          <w:rFonts w:ascii="Times New Roman" w:hAnsi="Times New Roman" w:cs="Times New Roman"/>
          <w:sz w:val="23"/>
          <w:szCs w:val="23"/>
          <w:lang w:val="en-US"/>
        </w:rPr>
        <w:t xml:space="preserve"> </w:t>
      </w:r>
      <w:r w:rsidRPr="008D168F">
        <w:rPr>
          <w:rFonts w:ascii="Times New Roman" w:hAnsi="Times New Roman" w:cs="Times New Roman"/>
          <w:sz w:val="23"/>
          <w:szCs w:val="23"/>
          <w:lang w:val="en-US"/>
        </w:rPr>
        <w:t xml:space="preserve">of investigating, and has drawn eight lines to carry out its activities: </w:t>
      </w:r>
      <w:r w:rsidRPr="008D168F">
        <w:rPr>
          <w:rFonts w:ascii="Times New Roman" w:hAnsi="Times New Roman" w:cs="Times New Roman"/>
          <w:i/>
          <w:iCs/>
          <w:sz w:val="23"/>
          <w:szCs w:val="23"/>
          <w:lang w:val="en-US"/>
        </w:rPr>
        <w:t>a)</w:t>
      </w:r>
      <w:r w:rsidRPr="008D168F">
        <w:rPr>
          <w:rFonts w:ascii="Times New Roman" w:hAnsi="Times New Roman" w:cs="Times New Roman"/>
          <w:sz w:val="23"/>
          <w:szCs w:val="23"/>
          <w:lang w:val="en-US"/>
        </w:rPr>
        <w:t xml:space="preserve"> clarification of homicides directly related to the </w:t>
      </w:r>
      <w:r w:rsidR="007E29A6" w:rsidRPr="008D168F">
        <w:rPr>
          <w:rFonts w:ascii="Times New Roman" w:hAnsi="Times New Roman" w:cs="Times New Roman"/>
          <w:sz w:val="23"/>
          <w:szCs w:val="23"/>
          <w:lang w:val="en-US"/>
        </w:rPr>
        <w:t>strikes</w:t>
      </w:r>
      <w:r w:rsidRPr="008D168F">
        <w:rPr>
          <w:rFonts w:ascii="Times New Roman" w:hAnsi="Times New Roman" w:cs="Times New Roman"/>
          <w:sz w:val="23"/>
          <w:szCs w:val="23"/>
          <w:lang w:val="en-US"/>
        </w:rPr>
        <w:t xml:space="preserve">, </w:t>
      </w:r>
      <w:r w:rsidRPr="008D168F">
        <w:rPr>
          <w:rFonts w:ascii="Times New Roman" w:hAnsi="Times New Roman" w:cs="Times New Roman"/>
          <w:i/>
          <w:iCs/>
          <w:sz w:val="23"/>
          <w:szCs w:val="23"/>
          <w:lang w:val="en-US"/>
        </w:rPr>
        <w:t>b)</w:t>
      </w:r>
      <w:r w:rsidRPr="008D168F">
        <w:rPr>
          <w:rFonts w:ascii="Times New Roman" w:hAnsi="Times New Roman" w:cs="Times New Roman"/>
          <w:sz w:val="23"/>
          <w:szCs w:val="23"/>
          <w:lang w:val="en-US"/>
        </w:rPr>
        <w:t xml:space="preserve"> investigations into situations of violence that generate destruction of public and private property, </w:t>
      </w:r>
      <w:r w:rsidRPr="008D168F">
        <w:rPr>
          <w:rFonts w:ascii="Times New Roman" w:hAnsi="Times New Roman" w:cs="Times New Roman"/>
          <w:i/>
          <w:iCs/>
          <w:sz w:val="23"/>
          <w:szCs w:val="23"/>
          <w:lang w:val="en-US"/>
        </w:rPr>
        <w:t>c)</w:t>
      </w:r>
      <w:r w:rsidRPr="008D168F">
        <w:rPr>
          <w:rFonts w:ascii="Times New Roman" w:hAnsi="Times New Roman" w:cs="Times New Roman"/>
          <w:sz w:val="23"/>
          <w:szCs w:val="23"/>
          <w:lang w:val="en-US"/>
        </w:rPr>
        <w:t xml:space="preserve"> personal injury and/or abuse of the Public Force to citizens, </w:t>
      </w:r>
      <w:r w:rsidRPr="008D168F">
        <w:rPr>
          <w:rFonts w:ascii="Times New Roman" w:hAnsi="Times New Roman" w:cs="Times New Roman"/>
          <w:i/>
          <w:iCs/>
          <w:sz w:val="23"/>
          <w:szCs w:val="23"/>
          <w:lang w:val="en-US"/>
        </w:rPr>
        <w:t>d)</w:t>
      </w:r>
      <w:r w:rsidRPr="008D168F">
        <w:rPr>
          <w:rFonts w:ascii="Times New Roman" w:hAnsi="Times New Roman" w:cs="Times New Roman"/>
          <w:sz w:val="23"/>
          <w:szCs w:val="23"/>
          <w:lang w:val="en-US"/>
        </w:rPr>
        <w:t xml:space="preserve"> injured or violence against </w:t>
      </w:r>
      <w:r w:rsidR="00943629" w:rsidRPr="008D168F">
        <w:rPr>
          <w:rFonts w:ascii="Times New Roman" w:hAnsi="Times New Roman" w:cs="Times New Roman"/>
          <w:sz w:val="23"/>
          <w:szCs w:val="23"/>
          <w:lang w:val="en-US"/>
        </w:rPr>
        <w:t xml:space="preserve">a </w:t>
      </w:r>
      <w:r w:rsidRPr="008D168F">
        <w:rPr>
          <w:rFonts w:ascii="Times New Roman" w:hAnsi="Times New Roman" w:cs="Times New Roman"/>
          <w:sz w:val="23"/>
          <w:szCs w:val="23"/>
          <w:lang w:val="en-US"/>
        </w:rPr>
        <w:t xml:space="preserve">public servant, </w:t>
      </w:r>
      <w:r w:rsidRPr="008D168F">
        <w:rPr>
          <w:rFonts w:ascii="Times New Roman" w:hAnsi="Times New Roman" w:cs="Times New Roman"/>
          <w:i/>
          <w:iCs/>
          <w:sz w:val="23"/>
          <w:szCs w:val="23"/>
          <w:lang w:val="en-US"/>
        </w:rPr>
        <w:t>e)</w:t>
      </w:r>
      <w:r w:rsidRPr="008D168F">
        <w:rPr>
          <w:rFonts w:ascii="Times New Roman" w:hAnsi="Times New Roman" w:cs="Times New Roman"/>
          <w:sz w:val="23"/>
          <w:szCs w:val="23"/>
          <w:lang w:val="en-US"/>
        </w:rPr>
        <w:t xml:space="preserve"> urban terrorism, </w:t>
      </w:r>
      <w:r w:rsidRPr="008D168F">
        <w:rPr>
          <w:rFonts w:ascii="Times New Roman" w:hAnsi="Times New Roman" w:cs="Times New Roman"/>
          <w:i/>
          <w:iCs/>
          <w:sz w:val="23"/>
          <w:szCs w:val="23"/>
          <w:lang w:val="en-US"/>
        </w:rPr>
        <w:t>f)</w:t>
      </w:r>
      <w:r w:rsidRPr="008D168F">
        <w:rPr>
          <w:rFonts w:ascii="Times New Roman" w:hAnsi="Times New Roman" w:cs="Times New Roman"/>
          <w:sz w:val="23"/>
          <w:szCs w:val="23"/>
          <w:lang w:val="en-US"/>
        </w:rPr>
        <w:t xml:space="preserve"> urgent search mechanism for the location of people, </w:t>
      </w:r>
      <w:r w:rsidRPr="008D168F">
        <w:rPr>
          <w:rFonts w:ascii="Times New Roman" w:hAnsi="Times New Roman" w:cs="Times New Roman"/>
          <w:i/>
          <w:iCs/>
          <w:sz w:val="23"/>
          <w:szCs w:val="23"/>
          <w:lang w:val="en-US"/>
        </w:rPr>
        <w:t>g)</w:t>
      </w:r>
      <w:r w:rsidRPr="008D168F">
        <w:rPr>
          <w:rFonts w:ascii="Times New Roman" w:hAnsi="Times New Roman" w:cs="Times New Roman"/>
          <w:sz w:val="23"/>
          <w:szCs w:val="23"/>
          <w:lang w:val="en-US"/>
        </w:rPr>
        <w:t xml:space="preserve"> persecution of money from those who finance terrorism and </w:t>
      </w:r>
      <w:r w:rsidRPr="008D168F">
        <w:rPr>
          <w:rFonts w:ascii="Times New Roman" w:hAnsi="Times New Roman" w:cs="Times New Roman"/>
          <w:i/>
          <w:iCs/>
          <w:sz w:val="23"/>
          <w:szCs w:val="23"/>
          <w:lang w:val="en-US"/>
        </w:rPr>
        <w:t>h)</w:t>
      </w:r>
      <w:r w:rsidRPr="008D168F">
        <w:rPr>
          <w:rFonts w:ascii="Times New Roman" w:hAnsi="Times New Roman" w:cs="Times New Roman"/>
          <w:sz w:val="23"/>
          <w:szCs w:val="23"/>
          <w:lang w:val="en-US"/>
        </w:rPr>
        <w:t xml:space="preserve"> application of the gender perspective in the investigation of sexual assaults committed within the framework of the </w:t>
      </w:r>
      <w:r w:rsidR="00EE2D20" w:rsidRPr="008D168F">
        <w:rPr>
          <w:rFonts w:ascii="Times New Roman" w:hAnsi="Times New Roman" w:cs="Times New Roman"/>
          <w:sz w:val="23"/>
          <w:szCs w:val="23"/>
          <w:lang w:val="en-US"/>
        </w:rPr>
        <w:t>strike</w:t>
      </w:r>
      <w:r w:rsidRPr="008D168F">
        <w:rPr>
          <w:rFonts w:ascii="Times New Roman" w:hAnsi="Times New Roman" w:cs="Times New Roman"/>
          <w:sz w:val="23"/>
          <w:szCs w:val="23"/>
          <w:lang w:val="en-US"/>
        </w:rPr>
        <w:t>.</w:t>
      </w:r>
    </w:p>
    <w:p w14:paraId="3272B1F2" w14:textId="77777777" w:rsidR="001B0D69" w:rsidRPr="008D168F" w:rsidRDefault="001B0D69" w:rsidP="001B0D69">
      <w:pPr>
        <w:jc w:val="both"/>
        <w:rPr>
          <w:rFonts w:ascii="Times New Roman" w:hAnsi="Times New Roman" w:cs="Times New Roman"/>
          <w:sz w:val="23"/>
          <w:szCs w:val="23"/>
          <w:lang w:val="en-US"/>
        </w:rPr>
      </w:pPr>
    </w:p>
    <w:p w14:paraId="7DF0B07D" w14:textId="5C07E836" w:rsidR="001B0D69" w:rsidRPr="008D168F" w:rsidRDefault="001B0D69" w:rsidP="001B0D69">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As advances in the aforementioned lines of research, the following results have been </w:t>
      </w:r>
      <w:r w:rsidR="002A2462" w:rsidRPr="008D168F">
        <w:rPr>
          <w:rFonts w:ascii="Times New Roman" w:hAnsi="Times New Roman" w:cs="Times New Roman"/>
          <w:sz w:val="23"/>
          <w:szCs w:val="23"/>
          <w:lang w:val="en-US"/>
        </w:rPr>
        <w:t xml:space="preserve">submitted </w:t>
      </w:r>
      <w:r w:rsidRPr="008D168F">
        <w:rPr>
          <w:rFonts w:ascii="Times New Roman" w:hAnsi="Times New Roman" w:cs="Times New Roman"/>
          <w:sz w:val="23"/>
          <w:szCs w:val="23"/>
          <w:lang w:val="en-US"/>
        </w:rPr>
        <w:t>to date:</w:t>
      </w:r>
    </w:p>
    <w:p w14:paraId="32BE4285" w14:textId="77777777" w:rsidR="008E3363" w:rsidRPr="008D168F" w:rsidRDefault="008E3363" w:rsidP="008E3363">
      <w:pPr>
        <w:jc w:val="both"/>
        <w:rPr>
          <w:rFonts w:ascii="Times New Roman" w:hAnsi="Times New Roman" w:cs="Times New Roman"/>
          <w:sz w:val="23"/>
          <w:szCs w:val="23"/>
          <w:lang w:val="en-US"/>
        </w:rPr>
      </w:pPr>
    </w:p>
    <w:p w14:paraId="78CCEB2C" w14:textId="593C0503" w:rsidR="008E3363" w:rsidRPr="008D168F" w:rsidRDefault="00FF67B6"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Within </w:t>
      </w:r>
      <w:r w:rsidR="002A2462" w:rsidRPr="008D168F">
        <w:rPr>
          <w:rFonts w:ascii="Times New Roman" w:hAnsi="Times New Roman" w:cs="Times New Roman"/>
          <w:sz w:val="23"/>
          <w:szCs w:val="23"/>
          <w:lang w:val="en-US"/>
        </w:rPr>
        <w:t>the framework of the strikes, 261 people have been located and the urgent search mechanism is being maintained in 134 cases.</w:t>
      </w:r>
    </w:p>
    <w:p w14:paraId="749E989A" w14:textId="034D52C6" w:rsidR="008E3363" w:rsidRPr="008D168F" w:rsidRDefault="00FF67B6"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According to figures from the Ombudsman’s Office, 42 cases of deceased persons have been reported since April 28, of which it was established that 15 are directly related to the strikes</w:t>
      </w:r>
      <w:r w:rsidR="008E3363" w:rsidRPr="008D168F">
        <w:rPr>
          <w:rFonts w:ascii="Times New Roman" w:hAnsi="Times New Roman" w:cs="Times New Roman"/>
          <w:sz w:val="23"/>
          <w:szCs w:val="23"/>
          <w:lang w:val="en-US"/>
        </w:rPr>
        <w:t xml:space="preserve">. </w:t>
      </w:r>
    </w:p>
    <w:p w14:paraId="0A2F673D" w14:textId="61F7BEE6" w:rsidR="008E3363" w:rsidRPr="008D168F" w:rsidRDefault="00353D53"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16 of the deaths registered have no connection whatsoever with the </w:t>
      </w:r>
      <w:r w:rsidR="00E809F3" w:rsidRPr="008D168F">
        <w:rPr>
          <w:rFonts w:ascii="Times New Roman" w:hAnsi="Times New Roman" w:cs="Times New Roman"/>
          <w:sz w:val="23"/>
          <w:szCs w:val="23"/>
          <w:lang w:val="en-US"/>
        </w:rPr>
        <w:t>strikes</w:t>
      </w:r>
      <w:r w:rsidRPr="008D168F">
        <w:rPr>
          <w:rFonts w:ascii="Times New Roman" w:hAnsi="Times New Roman" w:cs="Times New Roman"/>
          <w:sz w:val="23"/>
          <w:szCs w:val="23"/>
          <w:lang w:val="en-US"/>
        </w:rPr>
        <w:t xml:space="preserve"> and the remaining 11 cases are in the process of being verified to ascertain the circumstances of the events</w:t>
      </w:r>
      <w:r w:rsidR="008E3363" w:rsidRPr="008D168F">
        <w:rPr>
          <w:rFonts w:ascii="Times New Roman" w:hAnsi="Times New Roman" w:cs="Times New Roman"/>
          <w:sz w:val="23"/>
          <w:szCs w:val="23"/>
          <w:lang w:val="en-US"/>
        </w:rPr>
        <w:t xml:space="preserve">. </w:t>
      </w:r>
    </w:p>
    <w:p w14:paraId="11B3E199" w14:textId="58032470" w:rsidR="008E3363" w:rsidRPr="008D168F" w:rsidRDefault="00E809F3"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Of the verified cases that are related to the strikes, 4 have been clarified, of which 3 are attributable to the public force and one to individuals</w:t>
      </w:r>
      <w:r w:rsidR="008E3363" w:rsidRPr="008D168F">
        <w:rPr>
          <w:rFonts w:ascii="Times New Roman" w:hAnsi="Times New Roman" w:cs="Times New Roman"/>
          <w:sz w:val="23"/>
          <w:szCs w:val="23"/>
          <w:lang w:val="en-US"/>
        </w:rPr>
        <w:t xml:space="preserve">. </w:t>
      </w:r>
    </w:p>
    <w:p w14:paraId="137577EE" w14:textId="037E41C5" w:rsidR="008E3363" w:rsidRPr="008D168F" w:rsidRDefault="00E809F3"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 investigative work coordinated between the Office of the Attorney General</w:t>
      </w:r>
      <w:r w:rsidR="00030720" w:rsidRPr="008D168F">
        <w:rPr>
          <w:rFonts w:ascii="Times New Roman" w:hAnsi="Times New Roman" w:cs="Times New Roman"/>
          <w:sz w:val="23"/>
          <w:szCs w:val="23"/>
          <w:lang w:val="en-US"/>
        </w:rPr>
        <w:t xml:space="preserve"> a</w:t>
      </w:r>
      <w:r w:rsidRPr="008D168F">
        <w:rPr>
          <w:rFonts w:ascii="Times New Roman" w:hAnsi="Times New Roman" w:cs="Times New Roman"/>
          <w:sz w:val="23"/>
          <w:szCs w:val="23"/>
          <w:lang w:val="en-US"/>
        </w:rPr>
        <w:t xml:space="preserve">nd the National Police has allowed the indictment of 160 people as alleged perpetrators of </w:t>
      </w:r>
      <w:r w:rsidR="00030720" w:rsidRPr="008D168F">
        <w:rPr>
          <w:rFonts w:ascii="Times New Roman" w:hAnsi="Times New Roman" w:cs="Times New Roman"/>
          <w:sz w:val="23"/>
          <w:szCs w:val="23"/>
          <w:lang w:val="en-US"/>
        </w:rPr>
        <w:t>offenses</w:t>
      </w:r>
      <w:r w:rsidRPr="008D168F">
        <w:rPr>
          <w:rFonts w:ascii="Times New Roman" w:hAnsi="Times New Roman" w:cs="Times New Roman"/>
          <w:sz w:val="23"/>
          <w:szCs w:val="23"/>
          <w:lang w:val="en-US"/>
        </w:rPr>
        <w:t xml:space="preserve"> committed between April 28 and May 16</w:t>
      </w:r>
      <w:r w:rsidR="008E3363" w:rsidRPr="008D168F">
        <w:rPr>
          <w:rFonts w:ascii="Times New Roman" w:hAnsi="Times New Roman" w:cs="Times New Roman"/>
          <w:sz w:val="23"/>
          <w:szCs w:val="23"/>
          <w:lang w:val="en-US"/>
        </w:rPr>
        <w:t xml:space="preserve">. </w:t>
      </w:r>
    </w:p>
    <w:p w14:paraId="0B86632E" w14:textId="0A348FF4" w:rsidR="008E3363" w:rsidRPr="008D168F" w:rsidRDefault="00544BC2"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49 security measures have been imposed.</w:t>
      </w:r>
    </w:p>
    <w:p w14:paraId="5449FB31" w14:textId="0CE72F4E" w:rsidR="008E3363" w:rsidRPr="008D168F" w:rsidRDefault="00544BC2"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There have been attacks on 141 Immediate Attention Centers of the National Police (CAI), 94 Police vehicles, 55 service stations, 199 banks, 76 ATMs, 266 public entities, 42 tolls nationwide and 262 looting in warehouses</w:t>
      </w:r>
      <w:r w:rsidR="008E3363" w:rsidRPr="008D168F">
        <w:rPr>
          <w:rFonts w:ascii="Times New Roman" w:hAnsi="Times New Roman" w:cs="Times New Roman"/>
          <w:sz w:val="23"/>
          <w:szCs w:val="23"/>
          <w:lang w:val="en-US"/>
        </w:rPr>
        <w:t xml:space="preserve">. </w:t>
      </w:r>
    </w:p>
    <w:p w14:paraId="64FF34AC" w14:textId="7BFE16CB" w:rsidR="008E3363" w:rsidRPr="008D168F" w:rsidRDefault="00544BC2"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These acts have been reported in 16 Departments of the country, namely, Antioquia, Atlántico, Bolívar, Boyacá, Caldas, Cauca, Cundinamarca, Huila, Magdalena, Meta, Nariño, Risaralda, Santander, Sucre, Tolima and Valle del Cauca</w:t>
      </w:r>
      <w:r w:rsidR="008E3363" w:rsidRPr="008D168F">
        <w:rPr>
          <w:rFonts w:ascii="Times New Roman" w:hAnsi="Times New Roman" w:cs="Times New Roman"/>
          <w:sz w:val="23"/>
          <w:szCs w:val="23"/>
          <w:lang w:val="en-US"/>
        </w:rPr>
        <w:t xml:space="preserve">. </w:t>
      </w:r>
    </w:p>
    <w:p w14:paraId="16EB62FE" w14:textId="67E620C0" w:rsidR="008E3363" w:rsidRPr="008D168F" w:rsidRDefault="00544BC2"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 Office of the Attorney General has prioritized the investigation of 178 cases, for abuses of authority and personal injuries to civilians by the Public Force</w:t>
      </w:r>
      <w:r w:rsidR="008E3363" w:rsidRPr="008D168F">
        <w:rPr>
          <w:rFonts w:ascii="Times New Roman" w:hAnsi="Times New Roman" w:cs="Times New Roman"/>
          <w:sz w:val="23"/>
          <w:szCs w:val="23"/>
          <w:lang w:val="en-US"/>
        </w:rPr>
        <w:t>.</w:t>
      </w:r>
    </w:p>
    <w:p w14:paraId="67CCCB7E" w14:textId="375648EE" w:rsidR="008E3363" w:rsidRPr="008D168F" w:rsidRDefault="00511BD8"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In the case of injured police officers, the Office of the Attorney General has information on 703 uniformed officers who report injuries</w:t>
      </w:r>
      <w:r w:rsidR="008E3363" w:rsidRPr="008D168F">
        <w:rPr>
          <w:rFonts w:ascii="Times New Roman" w:hAnsi="Times New Roman" w:cs="Times New Roman"/>
          <w:sz w:val="23"/>
          <w:szCs w:val="23"/>
          <w:lang w:val="en-US"/>
        </w:rPr>
        <w:t xml:space="preserve">. </w:t>
      </w:r>
    </w:p>
    <w:p w14:paraId="5BD9C495" w14:textId="29E02702" w:rsidR="008E3363" w:rsidRPr="008D168F" w:rsidRDefault="00D545AA"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Leaders of the ELN and the “Dagoberto Ramos” bloc of the FARC dissidences, associated with terrorism, have been prosecuted for events that occurred in the city of Cali</w:t>
      </w:r>
      <w:r w:rsidR="008E3363" w:rsidRPr="008D168F">
        <w:rPr>
          <w:rFonts w:ascii="Times New Roman" w:hAnsi="Times New Roman" w:cs="Times New Roman"/>
          <w:sz w:val="23"/>
          <w:szCs w:val="23"/>
          <w:lang w:val="en-US"/>
        </w:rPr>
        <w:t xml:space="preserve">. </w:t>
      </w:r>
    </w:p>
    <w:p w14:paraId="3EDB1E62" w14:textId="2BCB72FF" w:rsidR="008E3363" w:rsidRPr="008D168F" w:rsidRDefault="00DA5A5C" w:rsidP="008E3363">
      <w:pPr>
        <w:pStyle w:val="Prrafodelista"/>
        <w:numPr>
          <w:ilvl w:val="0"/>
          <w:numId w:val="7"/>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Due to damage to the infrastructure, there are 9 people arrested, who already have a security measure.</w:t>
      </w:r>
    </w:p>
    <w:p w14:paraId="4F730BF0" w14:textId="77777777" w:rsidR="008E3363" w:rsidRPr="008D168F" w:rsidRDefault="008E3363" w:rsidP="008E3363">
      <w:pPr>
        <w:jc w:val="both"/>
        <w:rPr>
          <w:rFonts w:ascii="Times New Roman" w:hAnsi="Times New Roman" w:cs="Times New Roman"/>
          <w:sz w:val="23"/>
          <w:szCs w:val="23"/>
          <w:lang w:val="en-US"/>
        </w:rPr>
      </w:pPr>
    </w:p>
    <w:p w14:paraId="784E6439" w14:textId="72DE7D72" w:rsidR="009B48A7" w:rsidRPr="008D168F" w:rsidRDefault="007C617D" w:rsidP="008E3363">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To continue strengthening the aforementioned strategy, this </w:t>
      </w:r>
      <w:r w:rsidR="000347E0" w:rsidRPr="008D168F">
        <w:rPr>
          <w:rFonts w:ascii="Times New Roman" w:hAnsi="Times New Roman" w:cs="Times New Roman"/>
          <w:sz w:val="23"/>
          <w:szCs w:val="23"/>
          <w:lang w:val="en-US"/>
        </w:rPr>
        <w:t>Institution</w:t>
      </w:r>
      <w:r w:rsidRPr="008D168F">
        <w:rPr>
          <w:rFonts w:ascii="Times New Roman" w:hAnsi="Times New Roman" w:cs="Times New Roman"/>
          <w:sz w:val="23"/>
          <w:szCs w:val="23"/>
          <w:lang w:val="en-US"/>
        </w:rPr>
        <w:t xml:space="preserve"> has arranged more than 5,000 servants in order to guarantee access to justice, through the application of international legal standards on human rights and due diligence, in all situations that have arisen</w:t>
      </w:r>
      <w:r w:rsidR="000347E0" w:rsidRPr="008D168F">
        <w:rPr>
          <w:rFonts w:ascii="Times New Roman" w:hAnsi="Times New Roman" w:cs="Times New Roman"/>
          <w:sz w:val="23"/>
          <w:szCs w:val="23"/>
          <w:lang w:val="en-US"/>
        </w:rPr>
        <w:t xml:space="preserve"> with</w:t>
      </w:r>
      <w:r w:rsidRPr="008D168F">
        <w:rPr>
          <w:rFonts w:ascii="Times New Roman" w:hAnsi="Times New Roman" w:cs="Times New Roman"/>
          <w:sz w:val="23"/>
          <w:szCs w:val="23"/>
          <w:lang w:val="en-US"/>
        </w:rPr>
        <w:t>in the framework of the</w:t>
      </w:r>
      <w:r w:rsidR="000347E0" w:rsidRPr="008D168F">
        <w:rPr>
          <w:rFonts w:ascii="Times New Roman" w:hAnsi="Times New Roman" w:cs="Times New Roman"/>
          <w:sz w:val="23"/>
          <w:szCs w:val="23"/>
          <w:lang w:val="en-US"/>
        </w:rPr>
        <w:t xml:space="preserve"> strikes</w:t>
      </w:r>
      <w:r w:rsidRPr="008D168F">
        <w:rPr>
          <w:rFonts w:ascii="Times New Roman" w:hAnsi="Times New Roman" w:cs="Times New Roman"/>
          <w:sz w:val="23"/>
          <w:szCs w:val="23"/>
          <w:lang w:val="en-US"/>
        </w:rPr>
        <w:t>. The results presented show that the Office of the Attorney General, in a short time, has fulfilled its task of investigating in accordance with said standards</w:t>
      </w:r>
      <w:r w:rsidR="00375B51" w:rsidRPr="008D168F">
        <w:rPr>
          <w:rFonts w:ascii="Times New Roman" w:hAnsi="Times New Roman" w:cs="Times New Roman"/>
          <w:sz w:val="23"/>
          <w:szCs w:val="23"/>
          <w:lang w:val="en-US"/>
        </w:rPr>
        <w:t>.</w:t>
      </w:r>
    </w:p>
    <w:p w14:paraId="3B5F6B2F" w14:textId="569FB4C7" w:rsidR="000C4ACE" w:rsidRPr="008D168F" w:rsidRDefault="000C4ACE" w:rsidP="008E3363">
      <w:pPr>
        <w:jc w:val="both"/>
        <w:rPr>
          <w:rFonts w:ascii="Times New Roman" w:hAnsi="Times New Roman" w:cs="Times New Roman"/>
          <w:sz w:val="23"/>
          <w:szCs w:val="23"/>
          <w:lang w:val="en-US"/>
        </w:rPr>
      </w:pPr>
    </w:p>
    <w:p w14:paraId="47E713CE" w14:textId="31F0C58A" w:rsidR="000C4ACE" w:rsidRPr="008D168F" w:rsidRDefault="003D00A5" w:rsidP="000C4ACE">
      <w:pPr>
        <w:pStyle w:val="Prrafodelista"/>
        <w:numPr>
          <w:ilvl w:val="0"/>
          <w:numId w:val="9"/>
        </w:numPr>
        <w:jc w:val="both"/>
        <w:rPr>
          <w:rFonts w:ascii="Times New Roman" w:hAnsi="Times New Roman" w:cs="Times New Roman"/>
          <w:b/>
          <w:bCs/>
          <w:sz w:val="23"/>
          <w:szCs w:val="23"/>
          <w:lang w:val="en-US"/>
        </w:rPr>
      </w:pPr>
      <w:r w:rsidRPr="008D168F">
        <w:rPr>
          <w:rFonts w:ascii="Times New Roman" w:hAnsi="Times New Roman" w:cs="Times New Roman"/>
          <w:b/>
          <w:bCs/>
          <w:sz w:val="23"/>
          <w:szCs w:val="23"/>
          <w:lang w:val="en-US"/>
        </w:rPr>
        <w:t xml:space="preserve">Overall </w:t>
      </w:r>
      <w:r w:rsidR="00C47526" w:rsidRPr="008D168F">
        <w:rPr>
          <w:rFonts w:ascii="Times New Roman" w:hAnsi="Times New Roman" w:cs="Times New Roman"/>
          <w:b/>
          <w:bCs/>
          <w:sz w:val="23"/>
          <w:szCs w:val="23"/>
          <w:lang w:val="en-US"/>
        </w:rPr>
        <w:t>evaluation</w:t>
      </w:r>
      <w:r w:rsidRPr="008D168F">
        <w:rPr>
          <w:rFonts w:ascii="Times New Roman" w:hAnsi="Times New Roman" w:cs="Times New Roman"/>
          <w:b/>
          <w:bCs/>
          <w:sz w:val="23"/>
          <w:szCs w:val="23"/>
          <w:lang w:val="en-US"/>
        </w:rPr>
        <w:t xml:space="preserve"> of </w:t>
      </w:r>
      <w:r w:rsidR="00C47526" w:rsidRPr="008D168F">
        <w:rPr>
          <w:rFonts w:ascii="Times New Roman" w:hAnsi="Times New Roman" w:cs="Times New Roman"/>
          <w:b/>
          <w:bCs/>
          <w:sz w:val="23"/>
          <w:szCs w:val="23"/>
          <w:lang w:val="en-US"/>
        </w:rPr>
        <w:t xml:space="preserve">the Department of </w:t>
      </w:r>
      <w:r w:rsidR="000C4ACE" w:rsidRPr="008D168F">
        <w:rPr>
          <w:rFonts w:ascii="Times New Roman" w:hAnsi="Times New Roman" w:cs="Times New Roman"/>
          <w:b/>
          <w:bCs/>
          <w:sz w:val="23"/>
          <w:szCs w:val="23"/>
          <w:lang w:val="en-US"/>
        </w:rPr>
        <w:t>Cauca</w:t>
      </w:r>
    </w:p>
    <w:p w14:paraId="0BC06DD2" w14:textId="08209CE1" w:rsidR="000C4ACE" w:rsidRPr="008D168F" w:rsidRDefault="000C4ACE" w:rsidP="000C4ACE">
      <w:pPr>
        <w:jc w:val="both"/>
        <w:rPr>
          <w:rFonts w:ascii="Times New Roman" w:hAnsi="Times New Roman" w:cs="Times New Roman"/>
          <w:sz w:val="23"/>
          <w:szCs w:val="23"/>
          <w:lang w:val="en-US"/>
        </w:rPr>
      </w:pPr>
    </w:p>
    <w:p w14:paraId="22FA843C" w14:textId="45749855" w:rsidR="000C4ACE" w:rsidRPr="008D168F" w:rsidRDefault="00A50BB1" w:rsidP="000C4ACE">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Next, the main results of the investigative work of the Attorney General’s Office in the Department of Cauca will be presented</w:t>
      </w:r>
      <w:r w:rsidR="000C4ACE" w:rsidRPr="008D168F">
        <w:rPr>
          <w:rFonts w:ascii="Times New Roman" w:hAnsi="Times New Roman" w:cs="Times New Roman"/>
          <w:sz w:val="23"/>
          <w:szCs w:val="23"/>
          <w:lang w:val="en-US"/>
        </w:rPr>
        <w:t>:</w:t>
      </w:r>
    </w:p>
    <w:p w14:paraId="7FAFA891" w14:textId="77777777" w:rsidR="000C4ACE" w:rsidRPr="008D168F" w:rsidRDefault="000C4ACE" w:rsidP="000C4ACE">
      <w:pPr>
        <w:jc w:val="both"/>
        <w:rPr>
          <w:rFonts w:ascii="Times New Roman" w:hAnsi="Times New Roman" w:cs="Times New Roman"/>
          <w:sz w:val="23"/>
          <w:szCs w:val="23"/>
          <w:lang w:val="en-US"/>
        </w:rPr>
      </w:pPr>
    </w:p>
    <w:p w14:paraId="10E2BA6A" w14:textId="6077F566" w:rsidR="000C4ACE" w:rsidRPr="008D168F" w:rsidRDefault="003D7575"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Vandalism are reported that have caused the following damages</w:t>
      </w:r>
      <w:r w:rsidR="000C4ACE" w:rsidRPr="008D168F">
        <w:rPr>
          <w:rFonts w:ascii="Times New Roman" w:hAnsi="Times New Roman" w:cs="Times New Roman"/>
          <w:sz w:val="23"/>
          <w:szCs w:val="23"/>
          <w:lang w:val="en-US"/>
        </w:rPr>
        <w:t xml:space="preserve">: </w:t>
      </w:r>
    </w:p>
    <w:p w14:paraId="750E296F" w14:textId="77777777" w:rsidR="006D0FE7" w:rsidRPr="008D168F" w:rsidRDefault="006D0FE7" w:rsidP="006D0FE7">
      <w:pPr>
        <w:ind w:left="360"/>
        <w:jc w:val="both"/>
        <w:rPr>
          <w:rFonts w:ascii="Times New Roman" w:hAnsi="Times New Roman" w:cs="Times New Roman"/>
          <w:sz w:val="23"/>
          <w:szCs w:val="23"/>
          <w:lang w:val="en-US"/>
        </w:rPr>
      </w:pPr>
    </w:p>
    <w:p w14:paraId="2AB2D900"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- 6 security cameras</w:t>
      </w:r>
    </w:p>
    <w:p w14:paraId="2A3BA267"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- 3 tolls</w:t>
      </w:r>
    </w:p>
    <w:p w14:paraId="4CD220BF"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- 10 ATMs</w:t>
      </w:r>
    </w:p>
    <w:p w14:paraId="343F20FB"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- 10 public entities</w:t>
      </w:r>
    </w:p>
    <w:p w14:paraId="74E11A64"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- 6 financial entities</w:t>
      </w:r>
    </w:p>
    <w:p w14:paraId="7ABE6D07"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 CAI</w:t>
      </w:r>
    </w:p>
    <w:p w14:paraId="7669ABBD"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- 3 Transportation National Police</w:t>
      </w:r>
    </w:p>
    <w:p w14:paraId="4EEE57C9" w14:textId="77777777" w:rsidR="003D7575"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 looting and damage to warehouses</w:t>
      </w:r>
    </w:p>
    <w:p w14:paraId="0F461B62" w14:textId="6396BAEA" w:rsidR="000C4ACE" w:rsidRPr="008D168F" w:rsidRDefault="003D7575" w:rsidP="00744457">
      <w:pPr>
        <w:pStyle w:val="Prrafodelista"/>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 offices of the Office of the Attorney General affected in the cities of Popayán and Santander de Quilichao</w:t>
      </w:r>
    </w:p>
    <w:p w14:paraId="517A803E" w14:textId="77777777" w:rsidR="003D7575" w:rsidRPr="008D168F" w:rsidRDefault="003D7575" w:rsidP="003D7575">
      <w:pPr>
        <w:pStyle w:val="Prrafodelista"/>
        <w:jc w:val="both"/>
        <w:rPr>
          <w:rFonts w:ascii="Times New Roman" w:hAnsi="Times New Roman" w:cs="Times New Roman"/>
          <w:sz w:val="23"/>
          <w:szCs w:val="23"/>
          <w:lang w:val="en-US"/>
        </w:rPr>
      </w:pPr>
    </w:p>
    <w:p w14:paraId="0F952E09" w14:textId="5E03CA16" w:rsidR="000C4ACE" w:rsidRPr="008D168F" w:rsidRDefault="00723021"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A total of 256 public order situations have been presented:</w:t>
      </w:r>
      <w:r w:rsidR="000C4ACE" w:rsidRPr="008D168F">
        <w:rPr>
          <w:rFonts w:ascii="Times New Roman" w:hAnsi="Times New Roman" w:cs="Times New Roman"/>
          <w:sz w:val="23"/>
          <w:szCs w:val="23"/>
          <w:lang w:val="en-US"/>
        </w:rPr>
        <w:t xml:space="preserve"> </w:t>
      </w:r>
    </w:p>
    <w:p w14:paraId="6913C1EB" w14:textId="77777777" w:rsidR="000C4ACE" w:rsidRPr="008D168F" w:rsidRDefault="000C4ACE" w:rsidP="000C4ACE">
      <w:pPr>
        <w:pStyle w:val="Prrafodelista"/>
        <w:jc w:val="both"/>
        <w:rPr>
          <w:rFonts w:ascii="Times New Roman" w:hAnsi="Times New Roman" w:cs="Times New Roman"/>
          <w:sz w:val="23"/>
          <w:szCs w:val="23"/>
          <w:lang w:val="en-US"/>
        </w:rPr>
      </w:pPr>
    </w:p>
    <w:p w14:paraId="1AF23AF4" w14:textId="77777777" w:rsidR="006D0FE7" w:rsidRPr="008D168F" w:rsidRDefault="006D0FE7"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armed harassments</w:t>
      </w:r>
    </w:p>
    <w:p w14:paraId="59CC6387" w14:textId="6941E2BE" w:rsidR="006D0FE7" w:rsidRPr="008D168F" w:rsidRDefault="006D0FE7"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- 5 </w:t>
      </w:r>
      <w:r w:rsidR="00440CFA" w:rsidRPr="008D168F">
        <w:rPr>
          <w:rFonts w:ascii="Times New Roman" w:hAnsi="Times New Roman" w:cs="Times New Roman"/>
          <w:sz w:val="23"/>
          <w:szCs w:val="23"/>
          <w:lang w:val="en-US"/>
        </w:rPr>
        <w:t>strikes</w:t>
      </w:r>
    </w:p>
    <w:p w14:paraId="1113176D" w14:textId="77777777" w:rsidR="006D0FE7" w:rsidRPr="008D168F" w:rsidRDefault="006D0FE7"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- 22 damage to real property</w:t>
      </w:r>
    </w:p>
    <w:p w14:paraId="24765ADC" w14:textId="77777777" w:rsidR="006D0FE7" w:rsidRPr="008D168F" w:rsidRDefault="006D0FE7"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- 24 disturbance situations</w:t>
      </w:r>
    </w:p>
    <w:p w14:paraId="6B886E7B" w14:textId="0D237B92" w:rsidR="006D0FE7" w:rsidRPr="008D168F" w:rsidRDefault="006D0FE7"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- 51 </w:t>
      </w:r>
      <w:r w:rsidR="00440CFA" w:rsidRPr="008D168F">
        <w:rPr>
          <w:rFonts w:ascii="Times New Roman" w:hAnsi="Times New Roman" w:cs="Times New Roman"/>
          <w:sz w:val="23"/>
          <w:szCs w:val="23"/>
          <w:lang w:val="en-US"/>
        </w:rPr>
        <w:t>protest marches</w:t>
      </w:r>
    </w:p>
    <w:p w14:paraId="6C03463D" w14:textId="77777777" w:rsidR="006D0FE7" w:rsidRPr="008D168F" w:rsidRDefault="006D0FE7"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- 74 concentrations of people</w:t>
      </w:r>
    </w:p>
    <w:p w14:paraId="7BCC1CC0" w14:textId="0F80EA06" w:rsidR="006D0FE7" w:rsidRPr="008D168F" w:rsidRDefault="006D0FE7"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- 78 road block</w:t>
      </w:r>
      <w:r w:rsidR="00440CFA" w:rsidRPr="008D168F">
        <w:rPr>
          <w:rFonts w:ascii="Times New Roman" w:hAnsi="Times New Roman" w:cs="Times New Roman"/>
          <w:sz w:val="23"/>
          <w:szCs w:val="23"/>
          <w:lang w:val="en-US"/>
        </w:rPr>
        <w:t>ades</w:t>
      </w:r>
    </w:p>
    <w:p w14:paraId="793286C4" w14:textId="2BDDECA4" w:rsidR="000C4ACE" w:rsidRPr="008D168F" w:rsidRDefault="000C4ACE" w:rsidP="006D0FE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w:t>
      </w:r>
    </w:p>
    <w:p w14:paraId="22690AB6" w14:textId="7ECFCDCB" w:rsidR="000C4ACE" w:rsidRPr="008D168F" w:rsidRDefault="00B1147C"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A total of 23 individuals have been arrested for committing offenses, as follows</w:t>
      </w:r>
      <w:r w:rsidR="000C4ACE" w:rsidRPr="008D168F">
        <w:rPr>
          <w:rFonts w:ascii="Times New Roman" w:hAnsi="Times New Roman" w:cs="Times New Roman"/>
          <w:sz w:val="23"/>
          <w:szCs w:val="23"/>
          <w:lang w:val="en-US"/>
        </w:rPr>
        <w:t xml:space="preserve">: </w:t>
      </w:r>
    </w:p>
    <w:p w14:paraId="32CCA52F" w14:textId="77777777" w:rsidR="000C4ACE" w:rsidRPr="008D168F" w:rsidRDefault="000C4ACE" w:rsidP="000C4ACE">
      <w:pPr>
        <w:pStyle w:val="Prrafodelista"/>
        <w:jc w:val="both"/>
        <w:rPr>
          <w:rFonts w:ascii="Times New Roman" w:hAnsi="Times New Roman" w:cs="Times New Roman"/>
          <w:sz w:val="23"/>
          <w:szCs w:val="23"/>
          <w:lang w:val="en-US"/>
        </w:rPr>
      </w:pPr>
    </w:p>
    <w:p w14:paraId="37FA80CC" w14:textId="60F62115" w:rsidR="00A56D07" w:rsidRPr="008D168F" w:rsidRDefault="00A56D07" w:rsidP="00A56D0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- 7 by Asonada (</w:t>
      </w:r>
      <w:r w:rsidR="003A22BA" w:rsidRPr="008D168F">
        <w:rPr>
          <w:rFonts w:ascii="Times New Roman" w:hAnsi="Times New Roman" w:cs="Times New Roman"/>
          <w:sz w:val="23"/>
          <w:szCs w:val="23"/>
          <w:lang w:val="en-US"/>
        </w:rPr>
        <w:t>a</w:t>
      </w:r>
      <w:r w:rsidRPr="008D168F">
        <w:rPr>
          <w:rFonts w:ascii="Times New Roman" w:hAnsi="Times New Roman" w:cs="Times New Roman"/>
          <w:sz w:val="23"/>
          <w:szCs w:val="23"/>
          <w:lang w:val="en-US"/>
        </w:rPr>
        <w:t xml:space="preserve">rt 468 of the </w:t>
      </w:r>
      <w:r w:rsidR="003A22BA" w:rsidRPr="008D168F">
        <w:rPr>
          <w:rFonts w:ascii="Times New Roman" w:hAnsi="Times New Roman" w:cs="Times New Roman"/>
          <w:sz w:val="23"/>
          <w:szCs w:val="23"/>
          <w:lang w:val="en-US"/>
        </w:rPr>
        <w:t>Colombian Criminal</w:t>
      </w:r>
      <w:r w:rsidRPr="008D168F">
        <w:rPr>
          <w:rFonts w:ascii="Times New Roman" w:hAnsi="Times New Roman" w:cs="Times New Roman"/>
          <w:sz w:val="23"/>
          <w:szCs w:val="23"/>
          <w:lang w:val="en-US"/>
        </w:rPr>
        <w:t xml:space="preserve"> Code)</w:t>
      </w:r>
    </w:p>
    <w:p w14:paraId="202BF22B" w14:textId="77777777" w:rsidR="00A56D07" w:rsidRPr="008D168F" w:rsidRDefault="00A56D07" w:rsidP="00A56D0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 for Damage to Natural Resources, Obstruction of Public Roads, Fires</w:t>
      </w:r>
    </w:p>
    <w:p w14:paraId="50F63037" w14:textId="634C7E66" w:rsidR="00A56D07" w:rsidRPr="008D168F" w:rsidRDefault="00A56D07" w:rsidP="00A56D0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- 1 for Qualified and Aggravated Theft; Violence against </w:t>
      </w:r>
      <w:r w:rsidR="004000F3" w:rsidRPr="008D168F">
        <w:rPr>
          <w:rFonts w:ascii="Times New Roman" w:hAnsi="Times New Roman" w:cs="Times New Roman"/>
          <w:sz w:val="23"/>
          <w:szCs w:val="23"/>
          <w:lang w:val="en-US"/>
        </w:rPr>
        <w:t xml:space="preserve">a </w:t>
      </w:r>
      <w:r w:rsidRPr="008D168F">
        <w:rPr>
          <w:rFonts w:ascii="Times New Roman" w:hAnsi="Times New Roman" w:cs="Times New Roman"/>
          <w:sz w:val="23"/>
          <w:szCs w:val="23"/>
          <w:lang w:val="en-US"/>
        </w:rPr>
        <w:t>Public Servant</w:t>
      </w:r>
    </w:p>
    <w:p w14:paraId="0FA48A98" w14:textId="040F501F" w:rsidR="00A56D07" w:rsidRPr="008D168F" w:rsidRDefault="00A56D07" w:rsidP="00A56D0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- 1 for instigation to commit a</w:t>
      </w:r>
      <w:r w:rsidR="004000F3" w:rsidRPr="008D168F">
        <w:rPr>
          <w:rFonts w:ascii="Times New Roman" w:hAnsi="Times New Roman" w:cs="Times New Roman"/>
          <w:sz w:val="23"/>
          <w:szCs w:val="23"/>
          <w:lang w:val="en-US"/>
        </w:rPr>
        <w:t>n offense</w:t>
      </w:r>
    </w:p>
    <w:p w14:paraId="3665B02D" w14:textId="77777777" w:rsidR="00A56D07" w:rsidRPr="008D168F" w:rsidRDefault="00A56D07" w:rsidP="00A56D0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 for Obstruction of Public Roads that Affect Public Order</w:t>
      </w:r>
    </w:p>
    <w:p w14:paraId="762488B5" w14:textId="74AD2BC3" w:rsidR="00A56D07" w:rsidRPr="008D168F" w:rsidRDefault="00A56D07" w:rsidP="00A56D0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for Possession, Manufacture and Traffic of</w:t>
      </w:r>
      <w:r w:rsidR="00D35C84" w:rsidRPr="008D168F">
        <w:rPr>
          <w:rFonts w:ascii="Times New Roman" w:hAnsi="Times New Roman" w:cs="Times New Roman"/>
          <w:sz w:val="23"/>
          <w:szCs w:val="23"/>
          <w:lang w:val="en-US"/>
        </w:rPr>
        <w:t xml:space="preserve"> a</w:t>
      </w:r>
      <w:r w:rsidRPr="008D168F">
        <w:rPr>
          <w:rFonts w:ascii="Times New Roman" w:hAnsi="Times New Roman" w:cs="Times New Roman"/>
          <w:sz w:val="23"/>
          <w:szCs w:val="23"/>
          <w:lang w:val="en-US"/>
        </w:rPr>
        <w:t xml:space="preserve"> Substance or Dangerous Objects</w:t>
      </w:r>
    </w:p>
    <w:p w14:paraId="0152DF6B" w14:textId="20CBCFE0" w:rsidR="000C4ACE" w:rsidRPr="008D168F" w:rsidRDefault="00A56D07" w:rsidP="00A56D07">
      <w:pPr>
        <w:pStyle w:val="Prrafodelista"/>
        <w:ind w:left="1080"/>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for Violence against a Public Servant</w:t>
      </w:r>
    </w:p>
    <w:p w14:paraId="45F275E7" w14:textId="77777777" w:rsidR="00A56D07" w:rsidRPr="008D168F" w:rsidRDefault="00A56D07" w:rsidP="00A56D07">
      <w:pPr>
        <w:jc w:val="both"/>
        <w:rPr>
          <w:rFonts w:ascii="Times New Roman" w:hAnsi="Times New Roman" w:cs="Times New Roman"/>
          <w:sz w:val="23"/>
          <w:szCs w:val="23"/>
          <w:lang w:val="en-US"/>
        </w:rPr>
      </w:pPr>
    </w:p>
    <w:p w14:paraId="6351CDCE" w14:textId="76AD9C7C" w:rsidR="000C4ACE" w:rsidRPr="008D168F" w:rsidRDefault="00D35C84"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There are 12 Notitia Criminis with 13 injured Police servants.</w:t>
      </w:r>
    </w:p>
    <w:p w14:paraId="5451520B" w14:textId="77777777" w:rsidR="000C4ACE" w:rsidRPr="008D168F" w:rsidRDefault="000C4ACE" w:rsidP="000C4ACE">
      <w:pPr>
        <w:pStyle w:val="Prrafodelista"/>
        <w:jc w:val="both"/>
        <w:rPr>
          <w:rFonts w:ascii="Times New Roman" w:hAnsi="Times New Roman" w:cs="Times New Roman"/>
          <w:sz w:val="23"/>
          <w:szCs w:val="23"/>
          <w:lang w:val="en-US"/>
        </w:rPr>
      </w:pPr>
    </w:p>
    <w:p w14:paraId="4EC55F1D" w14:textId="5267716E" w:rsidR="000C4ACE" w:rsidRPr="008D168F" w:rsidRDefault="00B92CDC"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18 civilians injured are reported.</w:t>
      </w:r>
    </w:p>
    <w:p w14:paraId="04DEC3B0" w14:textId="77777777" w:rsidR="000C4ACE" w:rsidRPr="008D168F" w:rsidRDefault="000C4ACE" w:rsidP="000C4ACE">
      <w:pPr>
        <w:pStyle w:val="Prrafodelista"/>
        <w:rPr>
          <w:rFonts w:ascii="Times New Roman" w:hAnsi="Times New Roman" w:cs="Times New Roman"/>
          <w:sz w:val="23"/>
          <w:szCs w:val="23"/>
          <w:lang w:val="en-US"/>
        </w:rPr>
      </w:pPr>
    </w:p>
    <w:p w14:paraId="59827FC5" w14:textId="626D85F9" w:rsidR="000C4ACE" w:rsidRPr="008D168F" w:rsidRDefault="0040701A"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The arrest of Anderson Johan Maldonado Cáceres, a/k/a “Jacobo”, an alleged member of the “Dagoberto Ramos” bloc, is reported for the offenses of conspiracy to commit an offense, in a heterogeneous contest with terrorism.</w:t>
      </w:r>
    </w:p>
    <w:p w14:paraId="0BD008EB" w14:textId="77777777" w:rsidR="00D92C6C" w:rsidRPr="008D168F" w:rsidRDefault="00D92C6C" w:rsidP="00D92C6C">
      <w:pPr>
        <w:pStyle w:val="Prrafodelista"/>
        <w:rPr>
          <w:rFonts w:ascii="Times New Roman" w:hAnsi="Times New Roman" w:cs="Times New Roman"/>
          <w:sz w:val="23"/>
          <w:szCs w:val="23"/>
          <w:lang w:val="en-US"/>
        </w:rPr>
      </w:pPr>
    </w:p>
    <w:p w14:paraId="18EB094A" w14:textId="64D07B8C" w:rsidR="00D92C6C" w:rsidRPr="008D168F" w:rsidRDefault="007045D0"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It is estimated that the damage caused in Popayán has an estimated cost of 20 billion Colombian pesos (5.3 million dollars and 4 million euros).</w:t>
      </w:r>
    </w:p>
    <w:p w14:paraId="02992D9B" w14:textId="77777777" w:rsidR="00DA6DD7" w:rsidRPr="008D168F" w:rsidRDefault="00DA6DD7" w:rsidP="00DA6DD7">
      <w:pPr>
        <w:pStyle w:val="Prrafodelista"/>
        <w:rPr>
          <w:rFonts w:ascii="Times New Roman" w:hAnsi="Times New Roman" w:cs="Times New Roman"/>
          <w:sz w:val="23"/>
          <w:szCs w:val="23"/>
          <w:lang w:val="en-US"/>
        </w:rPr>
      </w:pPr>
    </w:p>
    <w:p w14:paraId="4A335B4A" w14:textId="14EC9789" w:rsidR="00DA6DD7" w:rsidRPr="008D168F" w:rsidRDefault="00C80F99"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lastRenderedPageBreak/>
        <w:t>The GESELL camera, used to receive statements from children and adolescents victims of sexual violence, was destroyed, and 9 institutional vehicles, 6 motorcycles, dozens of computers were destroyed; in addition, weapons and narcotic substances that had been seized were stolen</w:t>
      </w:r>
      <w:r w:rsidR="00DA6DD7" w:rsidRPr="008D168F">
        <w:rPr>
          <w:rFonts w:ascii="Times New Roman" w:hAnsi="Times New Roman" w:cs="Times New Roman"/>
          <w:sz w:val="23"/>
          <w:szCs w:val="23"/>
          <w:lang w:val="en-US"/>
        </w:rPr>
        <w:t>.</w:t>
      </w:r>
    </w:p>
    <w:p w14:paraId="2F42093D" w14:textId="77777777" w:rsidR="00DA6DD7" w:rsidRPr="008D168F" w:rsidRDefault="00DA6DD7" w:rsidP="00DA6DD7">
      <w:pPr>
        <w:pStyle w:val="Prrafodelista"/>
        <w:rPr>
          <w:rFonts w:ascii="Times New Roman" w:hAnsi="Times New Roman" w:cs="Times New Roman"/>
          <w:sz w:val="23"/>
          <w:szCs w:val="23"/>
          <w:lang w:val="en-US"/>
        </w:rPr>
      </w:pPr>
    </w:p>
    <w:p w14:paraId="01039C8B" w14:textId="3F433897" w:rsidR="00DA6DD7" w:rsidRPr="008D168F" w:rsidRDefault="00C80F99" w:rsidP="000C4ACE">
      <w:pPr>
        <w:pStyle w:val="Prrafodelista"/>
        <w:numPr>
          <w:ilvl w:val="0"/>
          <w:numId w:val="10"/>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Valuable information for investigations of </w:t>
      </w:r>
      <w:r w:rsidR="00FB1F37" w:rsidRPr="008D168F">
        <w:rPr>
          <w:rFonts w:ascii="Times New Roman" w:hAnsi="Times New Roman" w:cs="Times New Roman"/>
          <w:sz w:val="23"/>
          <w:szCs w:val="23"/>
          <w:lang w:val="en-US"/>
        </w:rPr>
        <w:t xml:space="preserve">offenses committed </w:t>
      </w:r>
      <w:r w:rsidRPr="008D168F">
        <w:rPr>
          <w:rFonts w:ascii="Times New Roman" w:hAnsi="Times New Roman" w:cs="Times New Roman"/>
          <w:sz w:val="23"/>
          <w:szCs w:val="23"/>
          <w:lang w:val="en-US"/>
        </w:rPr>
        <w:t>against children and adolescents was lost, as entire physical files were incinerated</w:t>
      </w:r>
      <w:r w:rsidR="00DA6DD7" w:rsidRPr="008D168F">
        <w:rPr>
          <w:rFonts w:ascii="Times New Roman" w:hAnsi="Times New Roman" w:cs="Times New Roman"/>
          <w:sz w:val="23"/>
          <w:szCs w:val="23"/>
          <w:lang w:val="en-US"/>
        </w:rPr>
        <w:t xml:space="preserve">. </w:t>
      </w:r>
    </w:p>
    <w:p w14:paraId="253251AD" w14:textId="77777777" w:rsidR="000C4ACE" w:rsidRPr="008D168F" w:rsidRDefault="000C4ACE" w:rsidP="000C4ACE">
      <w:pPr>
        <w:jc w:val="both"/>
        <w:rPr>
          <w:rFonts w:ascii="Times New Roman" w:hAnsi="Times New Roman" w:cs="Times New Roman"/>
          <w:sz w:val="23"/>
          <w:szCs w:val="23"/>
          <w:lang w:val="en-US"/>
        </w:rPr>
      </w:pPr>
    </w:p>
    <w:p w14:paraId="1C8D260B" w14:textId="4B31223C" w:rsidR="000C4ACE" w:rsidRPr="008D168F" w:rsidRDefault="00FB1F37" w:rsidP="000C4ACE">
      <w:pPr>
        <w:pStyle w:val="Prrafodelista"/>
        <w:numPr>
          <w:ilvl w:val="0"/>
          <w:numId w:val="9"/>
        </w:numPr>
        <w:jc w:val="both"/>
        <w:rPr>
          <w:rFonts w:ascii="Times New Roman" w:hAnsi="Times New Roman" w:cs="Times New Roman"/>
          <w:b/>
          <w:bCs/>
          <w:sz w:val="23"/>
          <w:szCs w:val="23"/>
          <w:lang w:val="en-US"/>
        </w:rPr>
      </w:pPr>
      <w:r w:rsidRPr="008D168F">
        <w:rPr>
          <w:rFonts w:ascii="Times New Roman" w:hAnsi="Times New Roman" w:cs="Times New Roman"/>
          <w:b/>
          <w:bCs/>
          <w:sz w:val="23"/>
          <w:szCs w:val="23"/>
          <w:lang w:val="en-US"/>
        </w:rPr>
        <w:t xml:space="preserve">Overall evaluation of the city of </w:t>
      </w:r>
      <w:r w:rsidR="000C4ACE" w:rsidRPr="008D168F">
        <w:rPr>
          <w:rFonts w:ascii="Times New Roman" w:hAnsi="Times New Roman" w:cs="Times New Roman"/>
          <w:b/>
          <w:bCs/>
          <w:sz w:val="23"/>
          <w:szCs w:val="23"/>
          <w:lang w:val="en-US"/>
        </w:rPr>
        <w:t xml:space="preserve">Cali </w:t>
      </w:r>
    </w:p>
    <w:p w14:paraId="68BCDC2E" w14:textId="1CF16828" w:rsidR="000C4ACE" w:rsidRPr="008D168F" w:rsidRDefault="000C4ACE" w:rsidP="000C4ACE">
      <w:pPr>
        <w:jc w:val="both"/>
        <w:rPr>
          <w:rFonts w:ascii="Times New Roman" w:hAnsi="Times New Roman" w:cs="Times New Roman"/>
          <w:sz w:val="23"/>
          <w:szCs w:val="23"/>
          <w:lang w:val="en-US"/>
        </w:rPr>
      </w:pPr>
    </w:p>
    <w:p w14:paraId="77619F11" w14:textId="3AB14F8D" w:rsidR="000C4ACE" w:rsidRPr="008D168F" w:rsidRDefault="00BA088E" w:rsidP="000C4ACE">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Next, the main results of the investigative work of the Attorney General’s Office in the city of Cali will be presented</w:t>
      </w:r>
      <w:r w:rsidR="000C4ACE" w:rsidRPr="008D168F">
        <w:rPr>
          <w:rFonts w:ascii="Times New Roman" w:hAnsi="Times New Roman" w:cs="Times New Roman"/>
          <w:sz w:val="23"/>
          <w:szCs w:val="23"/>
          <w:lang w:val="en-US"/>
        </w:rPr>
        <w:t>:</w:t>
      </w:r>
    </w:p>
    <w:p w14:paraId="77203B12" w14:textId="77777777" w:rsidR="000C4ACE" w:rsidRPr="008D168F" w:rsidRDefault="000C4ACE" w:rsidP="000C4ACE">
      <w:pPr>
        <w:jc w:val="both"/>
        <w:rPr>
          <w:rFonts w:ascii="Times New Roman" w:hAnsi="Times New Roman" w:cs="Times New Roman"/>
          <w:sz w:val="23"/>
          <w:szCs w:val="23"/>
          <w:lang w:val="en-US"/>
        </w:rPr>
      </w:pPr>
    </w:p>
    <w:p w14:paraId="2A8710F6" w14:textId="5EB7DA29" w:rsidR="000C4ACE" w:rsidRPr="008D168F" w:rsidRDefault="00BA088E" w:rsidP="000C4ACE">
      <w:pPr>
        <w:pStyle w:val="Prrafodelista"/>
        <w:numPr>
          <w:ilvl w:val="0"/>
          <w:numId w:val="13"/>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Vandalism are reported, which have caused the following damages</w:t>
      </w:r>
      <w:r w:rsidR="000C4ACE" w:rsidRPr="008D168F">
        <w:rPr>
          <w:rFonts w:ascii="Times New Roman" w:hAnsi="Times New Roman" w:cs="Times New Roman"/>
          <w:sz w:val="23"/>
          <w:szCs w:val="23"/>
          <w:lang w:val="en-US"/>
        </w:rPr>
        <w:t>:</w:t>
      </w:r>
    </w:p>
    <w:p w14:paraId="1AA264BE" w14:textId="615A1D35" w:rsidR="000C4ACE" w:rsidRPr="008D168F" w:rsidRDefault="000C4ACE" w:rsidP="000C4ACE">
      <w:pPr>
        <w:jc w:val="both"/>
        <w:rPr>
          <w:rFonts w:ascii="Times New Roman" w:hAnsi="Times New Roman" w:cs="Times New Roman"/>
          <w:sz w:val="23"/>
          <w:szCs w:val="23"/>
          <w:lang w:val="en-US"/>
        </w:rPr>
      </w:pPr>
    </w:p>
    <w:p w14:paraId="179F0657"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- 20 security cameras</w:t>
      </w:r>
    </w:p>
    <w:p w14:paraId="4AC2EBE8"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- 57 gasoline service stations</w:t>
      </w:r>
    </w:p>
    <w:p w14:paraId="32E0F4E1"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- 66 private entities</w:t>
      </w:r>
    </w:p>
    <w:p w14:paraId="7B1F2E28"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- 6 ATMs</w:t>
      </w:r>
    </w:p>
    <w:p w14:paraId="763AAD3D"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- 29 financial entities</w:t>
      </w:r>
    </w:p>
    <w:p w14:paraId="4414EEFA"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- 283 public transport vehicles</w:t>
      </w:r>
    </w:p>
    <w:p w14:paraId="7220C35C"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- 9 CAI</w:t>
      </w:r>
    </w:p>
    <w:p w14:paraId="6DF398C1" w14:textId="77777777"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- 97 looting of warehouses</w:t>
      </w:r>
    </w:p>
    <w:p w14:paraId="35381987" w14:textId="6A2A44D5"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 headquarters of the Attorney General’s Office (2 vandalized and 3 at risk)</w:t>
      </w:r>
    </w:p>
    <w:p w14:paraId="591F5F55" w14:textId="3D7C8139" w:rsidR="00611ECE" w:rsidRPr="008D168F" w:rsidRDefault="00611ECE"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vandalized vehicles from the Attorney General</w:t>
      </w:r>
      <w:r w:rsidR="005D72D1" w:rsidRPr="008D168F">
        <w:rPr>
          <w:rFonts w:ascii="Times New Roman" w:hAnsi="Times New Roman" w:cs="Times New Roman"/>
          <w:sz w:val="23"/>
          <w:szCs w:val="23"/>
          <w:lang w:val="en-US"/>
        </w:rPr>
        <w:t>’</w:t>
      </w:r>
      <w:r w:rsidRPr="008D168F">
        <w:rPr>
          <w:rFonts w:ascii="Times New Roman" w:hAnsi="Times New Roman" w:cs="Times New Roman"/>
          <w:sz w:val="23"/>
          <w:szCs w:val="23"/>
          <w:lang w:val="en-US"/>
        </w:rPr>
        <w:t>s Office</w:t>
      </w:r>
    </w:p>
    <w:p w14:paraId="52DCBC77" w14:textId="77777777" w:rsidR="000C4ACE" w:rsidRPr="008D168F" w:rsidRDefault="000C4ACE" w:rsidP="000C4ACE">
      <w:pPr>
        <w:jc w:val="both"/>
        <w:rPr>
          <w:rFonts w:ascii="Times New Roman" w:hAnsi="Times New Roman" w:cs="Times New Roman"/>
          <w:sz w:val="23"/>
          <w:szCs w:val="23"/>
          <w:lang w:val="en-US"/>
        </w:rPr>
      </w:pPr>
    </w:p>
    <w:p w14:paraId="7936F79F" w14:textId="16682E83" w:rsidR="000C4ACE" w:rsidRPr="008D168F" w:rsidRDefault="005D72D1" w:rsidP="000C4ACE">
      <w:pPr>
        <w:pStyle w:val="Prrafodelista"/>
        <w:numPr>
          <w:ilvl w:val="0"/>
          <w:numId w:val="13"/>
        </w:num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53 individuals have been </w:t>
      </w:r>
      <w:r w:rsidR="000E5FDE" w:rsidRPr="008D168F">
        <w:rPr>
          <w:rFonts w:ascii="Times New Roman" w:hAnsi="Times New Roman" w:cs="Times New Roman"/>
          <w:sz w:val="23"/>
          <w:szCs w:val="23"/>
          <w:lang w:val="en-US"/>
        </w:rPr>
        <w:t>arrested</w:t>
      </w:r>
      <w:r w:rsidRPr="008D168F">
        <w:rPr>
          <w:rFonts w:ascii="Times New Roman" w:hAnsi="Times New Roman" w:cs="Times New Roman"/>
          <w:sz w:val="23"/>
          <w:szCs w:val="23"/>
          <w:lang w:val="en-US"/>
        </w:rPr>
        <w:t xml:space="preserve"> for committing </w:t>
      </w:r>
      <w:r w:rsidR="000E5FDE" w:rsidRPr="008D168F">
        <w:rPr>
          <w:rFonts w:ascii="Times New Roman" w:hAnsi="Times New Roman" w:cs="Times New Roman"/>
          <w:sz w:val="23"/>
          <w:szCs w:val="23"/>
          <w:lang w:val="en-US"/>
        </w:rPr>
        <w:t>offenses</w:t>
      </w:r>
      <w:r w:rsidRPr="008D168F">
        <w:rPr>
          <w:rFonts w:ascii="Times New Roman" w:hAnsi="Times New Roman" w:cs="Times New Roman"/>
          <w:sz w:val="23"/>
          <w:szCs w:val="23"/>
          <w:lang w:val="en-US"/>
        </w:rPr>
        <w:t>, as follows</w:t>
      </w:r>
      <w:r w:rsidR="000C4ACE" w:rsidRPr="008D168F">
        <w:rPr>
          <w:rFonts w:ascii="Times New Roman" w:hAnsi="Times New Roman" w:cs="Times New Roman"/>
          <w:sz w:val="23"/>
          <w:szCs w:val="23"/>
          <w:lang w:val="en-US"/>
        </w:rPr>
        <w:t xml:space="preserve">: </w:t>
      </w:r>
    </w:p>
    <w:p w14:paraId="63CD97FC" w14:textId="5D414C19" w:rsidR="000C4ACE" w:rsidRPr="008D168F" w:rsidRDefault="000C4ACE" w:rsidP="000C4ACE">
      <w:pPr>
        <w:jc w:val="both"/>
        <w:rPr>
          <w:rFonts w:ascii="Times New Roman" w:hAnsi="Times New Roman" w:cs="Times New Roman"/>
          <w:sz w:val="23"/>
          <w:szCs w:val="23"/>
          <w:lang w:val="en-US"/>
        </w:rPr>
      </w:pPr>
    </w:p>
    <w:p w14:paraId="6BC66D8F" w14:textId="46A27F70"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- 13 for Damage to </w:t>
      </w:r>
      <w:r w:rsidR="008900E7" w:rsidRPr="008D168F">
        <w:rPr>
          <w:rFonts w:ascii="Times New Roman" w:hAnsi="Times New Roman" w:cs="Times New Roman"/>
          <w:sz w:val="23"/>
          <w:szCs w:val="23"/>
          <w:lang w:val="en-US"/>
        </w:rPr>
        <w:t xml:space="preserve">Third-Party </w:t>
      </w:r>
      <w:r w:rsidRPr="008D168F">
        <w:rPr>
          <w:rFonts w:ascii="Times New Roman" w:hAnsi="Times New Roman" w:cs="Times New Roman"/>
          <w:sz w:val="23"/>
          <w:szCs w:val="23"/>
          <w:lang w:val="en-US"/>
        </w:rPr>
        <w:t>Property</w:t>
      </w:r>
    </w:p>
    <w:p w14:paraId="3666031B" w14:textId="07A9A44B"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- 6 for Qualified and Aggravated Theft; </w:t>
      </w:r>
      <w:r w:rsidR="008900E7" w:rsidRPr="008D168F">
        <w:rPr>
          <w:rFonts w:ascii="Times New Roman" w:hAnsi="Times New Roman" w:cs="Times New Roman"/>
          <w:sz w:val="23"/>
          <w:szCs w:val="23"/>
          <w:lang w:val="en-US"/>
        </w:rPr>
        <w:t>Damage to Third-Party Property</w:t>
      </w:r>
    </w:p>
    <w:p w14:paraId="0291FBE7"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- 6 for Manufacture, Traffic and Carrying of Firearms or Ammunition</w:t>
      </w:r>
    </w:p>
    <w:p w14:paraId="35797F45" w14:textId="39685DF2"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- 3 for </w:t>
      </w:r>
      <w:r w:rsidR="00742CA4" w:rsidRPr="008D168F">
        <w:rPr>
          <w:rFonts w:ascii="Times New Roman" w:hAnsi="Times New Roman"/>
          <w:sz w:val="23"/>
          <w:szCs w:val="23"/>
          <w:lang w:val="en-US"/>
        </w:rPr>
        <w:t>Theft of Small Amount</w:t>
      </w:r>
      <w:r w:rsidRPr="008D168F">
        <w:rPr>
          <w:rFonts w:ascii="Times New Roman" w:hAnsi="Times New Roman" w:cs="Times New Roman"/>
          <w:sz w:val="23"/>
          <w:szCs w:val="23"/>
          <w:lang w:val="en-US"/>
        </w:rPr>
        <w:t>, Aggravated by Public Establishment</w:t>
      </w:r>
    </w:p>
    <w:p w14:paraId="1114564F"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for Qualified Theft</w:t>
      </w:r>
    </w:p>
    <w:p w14:paraId="543FCFD1"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for Manufacture, Traffic, Possession or Possession of Firearms</w:t>
      </w:r>
    </w:p>
    <w:p w14:paraId="2F146AD4"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for Qualified Theft Aggravated by Public Establishment</w:t>
      </w:r>
    </w:p>
    <w:p w14:paraId="3D53220E" w14:textId="111A6E9A"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- 2 </w:t>
      </w:r>
      <w:r w:rsidR="00763567" w:rsidRPr="008D168F">
        <w:rPr>
          <w:rFonts w:ascii="Times New Roman" w:hAnsi="Times New Roman" w:cs="Times New Roman"/>
          <w:sz w:val="23"/>
          <w:szCs w:val="23"/>
          <w:lang w:val="en-US"/>
        </w:rPr>
        <w:t>for Receiving</w:t>
      </w:r>
    </w:p>
    <w:p w14:paraId="394E4129"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- 1 for Illegal Possession of Firearms</w:t>
      </w:r>
    </w:p>
    <w:p w14:paraId="0A26A614"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- 1 for Violence against a Public Servant</w:t>
      </w:r>
    </w:p>
    <w:p w14:paraId="07BDFB20"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- 5 for Traffic, Manufacture or Carriage of Narcotics</w:t>
      </w:r>
    </w:p>
    <w:p w14:paraId="1E57B466" w14:textId="793A4E9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- 1 for </w:t>
      </w:r>
      <w:r w:rsidR="00742CA4" w:rsidRPr="008D168F">
        <w:rPr>
          <w:rFonts w:ascii="Times New Roman" w:hAnsi="Times New Roman"/>
          <w:sz w:val="23"/>
          <w:szCs w:val="23"/>
          <w:lang w:val="en-US"/>
        </w:rPr>
        <w:t>Theft of High Amount</w:t>
      </w:r>
      <w:r w:rsidRPr="008D168F">
        <w:rPr>
          <w:rFonts w:ascii="Times New Roman" w:hAnsi="Times New Roman" w:cs="Times New Roman"/>
          <w:sz w:val="23"/>
          <w:szCs w:val="23"/>
          <w:lang w:val="en-US"/>
        </w:rPr>
        <w:t>, Aggravated by Simulating Authority</w:t>
      </w:r>
    </w:p>
    <w:p w14:paraId="25B06241"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for Terrorism</w:t>
      </w:r>
    </w:p>
    <w:p w14:paraId="7AB6301A" w14:textId="77777777"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- 4 for Obstruction of Public Roads that Affect Public Order</w:t>
      </w:r>
    </w:p>
    <w:p w14:paraId="2D11524B" w14:textId="553A555E" w:rsidR="005E2F97" w:rsidRPr="008D168F" w:rsidRDefault="005E2F97" w:rsidP="00744457">
      <w:pPr>
        <w:ind w:left="993"/>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xml:space="preserve">- 3 </w:t>
      </w:r>
      <w:r w:rsidR="006B6433" w:rsidRPr="008D168F">
        <w:rPr>
          <w:rFonts w:ascii="Times New Roman" w:hAnsi="Times New Roman"/>
          <w:sz w:val="23"/>
          <w:szCs w:val="23"/>
          <w:lang w:val="en-US"/>
        </w:rPr>
        <w:t xml:space="preserve">Aggravated Bodily </w:t>
      </w:r>
      <w:r w:rsidRPr="008D168F">
        <w:rPr>
          <w:rFonts w:ascii="Times New Roman" w:hAnsi="Times New Roman" w:cs="Times New Roman"/>
          <w:sz w:val="23"/>
          <w:szCs w:val="23"/>
          <w:lang w:val="en-US"/>
        </w:rPr>
        <w:t>Injuries</w:t>
      </w:r>
    </w:p>
    <w:p w14:paraId="7F96F4FB" w14:textId="77777777" w:rsidR="005E2F97" w:rsidRPr="008D168F" w:rsidRDefault="005E2F97" w:rsidP="000C4ACE">
      <w:pPr>
        <w:jc w:val="both"/>
        <w:rPr>
          <w:rFonts w:ascii="Times New Roman" w:hAnsi="Times New Roman" w:cs="Times New Roman"/>
          <w:sz w:val="23"/>
          <w:szCs w:val="23"/>
          <w:lang w:val="en-US"/>
        </w:rPr>
      </w:pPr>
    </w:p>
    <w:p w14:paraId="6AB47DB8" w14:textId="77777777" w:rsidR="00B75716" w:rsidRPr="008D168F" w:rsidRDefault="00B75716" w:rsidP="00B75716">
      <w:pPr>
        <w:pStyle w:val="Prrafodelista"/>
        <w:numPr>
          <w:ilvl w:val="0"/>
          <w:numId w:val="13"/>
        </w:numPr>
        <w:jc w:val="both"/>
        <w:rPr>
          <w:rFonts w:ascii="Times New Roman" w:hAnsi="Times New Roman"/>
          <w:sz w:val="23"/>
          <w:szCs w:val="23"/>
          <w:lang w:val="en-US"/>
        </w:rPr>
      </w:pPr>
      <w:r w:rsidRPr="008D168F">
        <w:rPr>
          <w:rFonts w:ascii="Times New Roman" w:hAnsi="Times New Roman"/>
          <w:sz w:val="23"/>
          <w:szCs w:val="23"/>
          <w:lang w:val="en-US"/>
        </w:rPr>
        <w:t xml:space="preserve">Ten (10) search and seizures have been carried out </w:t>
      </w:r>
    </w:p>
    <w:p w14:paraId="2947E9B1" w14:textId="77777777" w:rsidR="00B75716" w:rsidRPr="008D168F" w:rsidRDefault="00B75716" w:rsidP="00B75716">
      <w:pPr>
        <w:pStyle w:val="Prrafodelista"/>
        <w:numPr>
          <w:ilvl w:val="0"/>
          <w:numId w:val="13"/>
        </w:numPr>
        <w:jc w:val="both"/>
        <w:rPr>
          <w:rFonts w:ascii="Times New Roman" w:hAnsi="Times New Roman"/>
          <w:sz w:val="23"/>
          <w:szCs w:val="23"/>
          <w:lang w:val="en-US"/>
        </w:rPr>
      </w:pPr>
      <w:r w:rsidRPr="008D168F">
        <w:rPr>
          <w:rFonts w:ascii="Times New Roman" w:hAnsi="Times New Roman"/>
          <w:sz w:val="23"/>
          <w:szCs w:val="23"/>
          <w:lang w:val="en-US"/>
        </w:rPr>
        <w:t xml:space="preserve">Twenty-two (22) accusations have been made and nine (9) detention measures have been ordered </w:t>
      </w:r>
    </w:p>
    <w:p w14:paraId="193892D9" w14:textId="54C5CD53" w:rsidR="000C4ACE" w:rsidRPr="008D168F" w:rsidRDefault="00B75716" w:rsidP="00B75716">
      <w:pPr>
        <w:pStyle w:val="Prrafodelista"/>
        <w:numPr>
          <w:ilvl w:val="0"/>
          <w:numId w:val="13"/>
        </w:numPr>
        <w:jc w:val="both"/>
        <w:rPr>
          <w:rFonts w:ascii="Times New Roman" w:hAnsi="Times New Roman"/>
          <w:sz w:val="23"/>
          <w:szCs w:val="23"/>
          <w:lang w:val="en-US"/>
        </w:rPr>
      </w:pPr>
      <w:r w:rsidRPr="008D168F">
        <w:rPr>
          <w:rFonts w:ascii="Times New Roman" w:hAnsi="Times New Roman"/>
          <w:sz w:val="23"/>
          <w:szCs w:val="23"/>
          <w:lang w:val="en-US"/>
        </w:rPr>
        <w:t>The following seizures have been made:</w:t>
      </w:r>
      <w:r w:rsidR="000C4ACE" w:rsidRPr="008D168F">
        <w:rPr>
          <w:rFonts w:ascii="Times New Roman" w:hAnsi="Times New Roman" w:cs="Times New Roman"/>
          <w:sz w:val="23"/>
          <w:szCs w:val="23"/>
          <w:lang w:val="en-US"/>
        </w:rPr>
        <w:t xml:space="preserve"> </w:t>
      </w:r>
    </w:p>
    <w:p w14:paraId="2A663C8A" w14:textId="77777777" w:rsidR="000C4ACE" w:rsidRPr="008D168F" w:rsidRDefault="000C4ACE" w:rsidP="000C4ACE">
      <w:pPr>
        <w:jc w:val="both"/>
        <w:rPr>
          <w:rFonts w:ascii="Times New Roman" w:hAnsi="Times New Roman" w:cs="Times New Roman"/>
          <w:sz w:val="23"/>
          <w:szCs w:val="23"/>
          <w:lang w:val="en-US"/>
        </w:rPr>
      </w:pPr>
    </w:p>
    <w:p w14:paraId="4A493B72" w14:textId="77777777" w:rsidR="00B058C2" w:rsidRPr="008D168F" w:rsidRDefault="00B058C2" w:rsidP="00B058C2">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- 10 electronic equipment</w:t>
      </w:r>
    </w:p>
    <w:p w14:paraId="767A51AA" w14:textId="77777777" w:rsidR="00B058C2" w:rsidRPr="008D168F" w:rsidRDefault="00B058C2" w:rsidP="00B058C2">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- 25 kilos and 57 doses of cocaine</w:t>
      </w:r>
    </w:p>
    <w:p w14:paraId="4D9BCB03" w14:textId="77777777" w:rsidR="00B058C2" w:rsidRPr="008D168F" w:rsidRDefault="00B058C2" w:rsidP="00B058C2">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- 10 firearms</w:t>
      </w:r>
    </w:p>
    <w:p w14:paraId="10AC1C4B" w14:textId="51B7F88C" w:rsidR="000C4ACE" w:rsidRPr="008D168F" w:rsidRDefault="00B058C2" w:rsidP="00B058C2">
      <w:pPr>
        <w:jc w:val="both"/>
        <w:rPr>
          <w:rFonts w:ascii="Times New Roman" w:hAnsi="Times New Roman" w:cs="Times New Roman"/>
          <w:sz w:val="23"/>
          <w:szCs w:val="23"/>
          <w:lang w:val="en-US"/>
        </w:rPr>
      </w:pPr>
      <w:r w:rsidRPr="008D168F">
        <w:rPr>
          <w:rFonts w:ascii="Times New Roman" w:hAnsi="Times New Roman" w:cs="Times New Roman"/>
          <w:sz w:val="23"/>
          <w:szCs w:val="23"/>
          <w:lang w:val="en-US"/>
        </w:rPr>
        <w:t>- 2 vehicles</w:t>
      </w:r>
    </w:p>
    <w:p w14:paraId="19C6E6B5" w14:textId="77777777" w:rsidR="00B058C2" w:rsidRPr="008D168F" w:rsidRDefault="00B058C2" w:rsidP="00B058C2">
      <w:pPr>
        <w:jc w:val="both"/>
        <w:rPr>
          <w:rFonts w:ascii="Times New Roman" w:hAnsi="Times New Roman" w:cs="Times New Roman"/>
          <w:sz w:val="23"/>
          <w:szCs w:val="23"/>
          <w:lang w:val="en-US"/>
        </w:rPr>
      </w:pPr>
    </w:p>
    <w:p w14:paraId="74359128" w14:textId="6A01BED8" w:rsidR="000C4ACE" w:rsidRPr="008D168F" w:rsidRDefault="00B75716" w:rsidP="000C4ACE">
      <w:pPr>
        <w:pStyle w:val="Prrafodelista"/>
        <w:numPr>
          <w:ilvl w:val="0"/>
          <w:numId w:val="13"/>
        </w:numPr>
        <w:jc w:val="both"/>
        <w:rPr>
          <w:rFonts w:ascii="Times New Roman" w:hAnsi="Times New Roman" w:cs="Times New Roman"/>
          <w:sz w:val="23"/>
          <w:szCs w:val="23"/>
          <w:lang w:val="en-US"/>
        </w:rPr>
      </w:pPr>
      <w:r w:rsidRPr="008D168F">
        <w:rPr>
          <w:rFonts w:ascii="Times New Roman" w:hAnsi="Times New Roman"/>
          <w:sz w:val="23"/>
          <w:szCs w:val="23"/>
          <w:lang w:val="en-US"/>
        </w:rPr>
        <w:t>A National Police officer was arrested for the offense of Aggravated Homicide</w:t>
      </w:r>
    </w:p>
    <w:p w14:paraId="2A4ED37C" w14:textId="77777777" w:rsidR="001D3425" w:rsidRPr="008D168F" w:rsidRDefault="001D3425" w:rsidP="00016E44">
      <w:pPr>
        <w:jc w:val="both"/>
        <w:rPr>
          <w:rFonts w:ascii="Times New Roman" w:hAnsi="Times New Roman" w:cs="Times New Roman"/>
          <w:sz w:val="23"/>
          <w:szCs w:val="23"/>
          <w:lang w:val="en-US"/>
        </w:rPr>
      </w:pPr>
    </w:p>
    <w:p w14:paraId="416D73BA" w14:textId="4F06644D" w:rsidR="000C1A41" w:rsidRPr="008D168F" w:rsidRDefault="00B75716" w:rsidP="00016E44">
      <w:pPr>
        <w:pStyle w:val="Prrafodelista"/>
        <w:numPr>
          <w:ilvl w:val="0"/>
          <w:numId w:val="4"/>
        </w:numPr>
        <w:jc w:val="both"/>
        <w:rPr>
          <w:rFonts w:ascii="Times New Roman" w:hAnsi="Times New Roman" w:cs="Times New Roman"/>
          <w:b/>
          <w:bCs/>
          <w:smallCaps/>
          <w:sz w:val="23"/>
          <w:szCs w:val="23"/>
          <w:lang w:val="en-US"/>
        </w:rPr>
      </w:pPr>
      <w:r w:rsidRPr="008D168F">
        <w:rPr>
          <w:rFonts w:ascii="Times New Roman" w:hAnsi="Times New Roman"/>
          <w:b/>
          <w:bCs/>
          <w:smallCaps/>
          <w:sz w:val="23"/>
          <w:szCs w:val="23"/>
          <w:lang w:val="en-US"/>
        </w:rPr>
        <w:t>Investigation actions in connoted cases</w:t>
      </w:r>
      <w:r w:rsidR="00541F0C" w:rsidRPr="008D168F">
        <w:rPr>
          <w:rFonts w:ascii="Times New Roman" w:hAnsi="Times New Roman" w:cs="Times New Roman"/>
          <w:b/>
          <w:bCs/>
          <w:smallCaps/>
          <w:sz w:val="23"/>
          <w:szCs w:val="23"/>
          <w:lang w:val="en-US"/>
        </w:rPr>
        <w:t xml:space="preserve"> </w:t>
      </w:r>
    </w:p>
    <w:p w14:paraId="514D79B7" w14:textId="24434BA8" w:rsidR="008E3363" w:rsidRPr="008D168F" w:rsidRDefault="008E3363" w:rsidP="008E3363">
      <w:pPr>
        <w:jc w:val="both"/>
        <w:rPr>
          <w:rFonts w:ascii="Times New Roman" w:hAnsi="Times New Roman" w:cs="Times New Roman"/>
          <w:sz w:val="23"/>
          <w:szCs w:val="23"/>
          <w:lang w:val="en-US"/>
        </w:rPr>
      </w:pPr>
    </w:p>
    <w:p w14:paraId="6C59E4C1" w14:textId="08A93334" w:rsidR="000C4ACE" w:rsidRPr="008D168F" w:rsidRDefault="00735DA5" w:rsidP="000C4ACE">
      <w:pPr>
        <w:pStyle w:val="Prrafodelista"/>
        <w:numPr>
          <w:ilvl w:val="0"/>
          <w:numId w:val="15"/>
        </w:numPr>
        <w:jc w:val="both"/>
        <w:rPr>
          <w:rFonts w:ascii="Times New Roman" w:hAnsi="Times New Roman" w:cs="Times New Roman"/>
          <w:b/>
          <w:bCs/>
          <w:sz w:val="23"/>
          <w:szCs w:val="23"/>
          <w:lang w:val="en-US"/>
        </w:rPr>
      </w:pPr>
      <w:r w:rsidRPr="008D168F">
        <w:rPr>
          <w:rFonts w:ascii="Times New Roman" w:hAnsi="Times New Roman" w:cs="Times New Roman"/>
          <w:b/>
          <w:bCs/>
          <w:sz w:val="23"/>
          <w:szCs w:val="23"/>
          <w:lang w:val="en-US"/>
        </w:rPr>
        <w:t xml:space="preserve">Facts that took place in the city of </w:t>
      </w:r>
      <w:r w:rsidR="000C4ACE" w:rsidRPr="008D168F">
        <w:rPr>
          <w:rFonts w:ascii="Times New Roman" w:hAnsi="Times New Roman" w:cs="Times New Roman"/>
          <w:b/>
          <w:bCs/>
          <w:sz w:val="23"/>
          <w:szCs w:val="23"/>
          <w:lang w:val="en-US"/>
        </w:rPr>
        <w:t>Popayán</w:t>
      </w:r>
    </w:p>
    <w:p w14:paraId="3DA2BC6A" w14:textId="77777777" w:rsidR="000C4ACE" w:rsidRPr="008D168F" w:rsidRDefault="000C4ACE" w:rsidP="000C4ACE">
      <w:pPr>
        <w:jc w:val="both"/>
        <w:rPr>
          <w:rFonts w:ascii="Times New Roman" w:hAnsi="Times New Roman" w:cs="Times New Roman"/>
          <w:sz w:val="23"/>
          <w:szCs w:val="23"/>
          <w:lang w:val="en-US"/>
        </w:rPr>
      </w:pPr>
    </w:p>
    <w:p w14:paraId="6763F938" w14:textId="77777777" w:rsidR="00B75716" w:rsidRPr="008D168F" w:rsidRDefault="00B75716" w:rsidP="00B75716">
      <w:pPr>
        <w:jc w:val="both"/>
        <w:rPr>
          <w:rFonts w:ascii="Times New Roman" w:hAnsi="Times New Roman"/>
          <w:sz w:val="23"/>
          <w:szCs w:val="23"/>
          <w:lang w:val="en-US"/>
        </w:rPr>
      </w:pPr>
      <w:r w:rsidRPr="008D168F">
        <w:rPr>
          <w:rFonts w:ascii="Times New Roman" w:hAnsi="Times New Roman"/>
          <w:sz w:val="23"/>
          <w:szCs w:val="23"/>
          <w:lang w:val="en-US"/>
        </w:rPr>
        <w:t xml:space="preserve">The facts occurred on May 12 and 13, 2021. The trigger of all the situation was the physical aggression that, on the night of May 12, three ESMAD agents and one National Police office caused to the 17-year-old minor. On the next day, at her home, this young girl decided to kill herself. </w:t>
      </w:r>
    </w:p>
    <w:p w14:paraId="015CCA6A" w14:textId="77777777" w:rsidR="00B75716" w:rsidRPr="008D168F" w:rsidRDefault="00B75716" w:rsidP="00B75716">
      <w:pPr>
        <w:pStyle w:val="Prrafodelista"/>
        <w:jc w:val="both"/>
        <w:rPr>
          <w:rFonts w:ascii="Times New Roman" w:hAnsi="Times New Roman"/>
          <w:sz w:val="23"/>
          <w:szCs w:val="23"/>
          <w:lang w:val="en-US"/>
        </w:rPr>
      </w:pPr>
    </w:p>
    <w:p w14:paraId="5FCDFBA7" w14:textId="77777777" w:rsidR="00B75716" w:rsidRPr="008D168F" w:rsidRDefault="00B75716" w:rsidP="00B75716">
      <w:pPr>
        <w:jc w:val="both"/>
        <w:rPr>
          <w:rFonts w:ascii="Times New Roman" w:hAnsi="Times New Roman"/>
          <w:sz w:val="23"/>
          <w:szCs w:val="23"/>
          <w:lang w:val="en-US"/>
        </w:rPr>
      </w:pPr>
      <w:r w:rsidRPr="008D168F">
        <w:rPr>
          <w:rFonts w:ascii="Times New Roman" w:hAnsi="Times New Roman"/>
          <w:sz w:val="23"/>
          <w:szCs w:val="23"/>
          <w:lang w:val="en-US"/>
        </w:rPr>
        <w:t>As a preliminary aspect, it is worth noting that National Work Team of Gender Violence for the attention of offenses that affect women, children and adolescents, ascribed to the Delegate of Citizen’s Safety, comprised of itinerant district attorneys expert in this matter, has gone to different regions of the country, to carry out investigation of punishable behaviors that are of its competence committed during the social protest. This covers homicides, bodily injuries, abuses of authority, and of course sexual violence.</w:t>
      </w:r>
    </w:p>
    <w:p w14:paraId="7C3C29E1" w14:textId="77777777" w:rsidR="00B75716" w:rsidRPr="008D168F" w:rsidRDefault="00B75716" w:rsidP="00B75716">
      <w:pPr>
        <w:jc w:val="both"/>
        <w:rPr>
          <w:rFonts w:ascii="Times New Roman" w:hAnsi="Times New Roman"/>
          <w:sz w:val="23"/>
          <w:szCs w:val="23"/>
          <w:lang w:val="en-US"/>
        </w:rPr>
      </w:pPr>
    </w:p>
    <w:p w14:paraId="2B1F9DD7" w14:textId="77777777" w:rsidR="00B75716" w:rsidRPr="008D168F" w:rsidRDefault="00B75716" w:rsidP="00B75716">
      <w:pPr>
        <w:jc w:val="both"/>
        <w:rPr>
          <w:rFonts w:ascii="Times New Roman" w:hAnsi="Times New Roman"/>
          <w:sz w:val="23"/>
          <w:szCs w:val="23"/>
          <w:lang w:val="en-US"/>
        </w:rPr>
      </w:pPr>
      <w:r w:rsidRPr="008D168F">
        <w:rPr>
          <w:rFonts w:ascii="Times New Roman" w:hAnsi="Times New Roman"/>
          <w:sz w:val="23"/>
          <w:szCs w:val="23"/>
          <w:lang w:val="en-US"/>
        </w:rPr>
        <w:t xml:space="preserve">In this case mentioned, the Delegated for Citizens’ Safety, one it learnt about the situation, activated the activity on the territory through this special personnel, to generate investigation strategies with human rights, gender and childhood approaches. </w:t>
      </w:r>
    </w:p>
    <w:p w14:paraId="76F719BE" w14:textId="77777777" w:rsidR="00B75716" w:rsidRPr="008D168F" w:rsidRDefault="00B75716" w:rsidP="00B75716">
      <w:pPr>
        <w:jc w:val="both"/>
        <w:rPr>
          <w:rFonts w:ascii="Times New Roman" w:hAnsi="Times New Roman"/>
          <w:sz w:val="23"/>
          <w:szCs w:val="23"/>
          <w:lang w:val="en-US"/>
        </w:rPr>
      </w:pPr>
    </w:p>
    <w:p w14:paraId="00A389A9" w14:textId="77777777" w:rsidR="00B75716" w:rsidRPr="008D168F" w:rsidRDefault="00B75716" w:rsidP="00B75716">
      <w:pPr>
        <w:jc w:val="both"/>
        <w:rPr>
          <w:rFonts w:ascii="Times New Roman" w:hAnsi="Times New Roman"/>
          <w:sz w:val="23"/>
          <w:szCs w:val="23"/>
          <w:lang w:val="en-US"/>
        </w:rPr>
      </w:pPr>
      <w:r w:rsidRPr="008D168F">
        <w:rPr>
          <w:rFonts w:ascii="Times New Roman" w:hAnsi="Times New Roman"/>
          <w:sz w:val="23"/>
          <w:szCs w:val="23"/>
          <w:lang w:val="en-US"/>
        </w:rPr>
        <w:t>Thus, multiple activities have been developed to verify aimed at clarifying the facts. Among these activities are: (i) interviews, (ii) preservation of social networks accounts, (iii) inspection to social networks, (iv) selective database searches, (v) inspections to the site of the facts, (vi) gathering evidentiary material elements, (vii) necropsy protocol, (viii) gathering clinic records y (ix) location and gathering cameras and videos about May 12 and 13, 2021.</w:t>
      </w:r>
    </w:p>
    <w:p w14:paraId="1CE4C0C9" w14:textId="77777777" w:rsidR="00B75716" w:rsidRPr="008D168F" w:rsidRDefault="00B75716" w:rsidP="00B75716">
      <w:pPr>
        <w:jc w:val="both"/>
        <w:rPr>
          <w:rFonts w:ascii="Times New Roman" w:hAnsi="Times New Roman"/>
          <w:sz w:val="23"/>
          <w:szCs w:val="23"/>
          <w:lang w:val="en-US"/>
        </w:rPr>
      </w:pPr>
    </w:p>
    <w:p w14:paraId="2EF47AC0" w14:textId="0EC48ED4" w:rsidR="000C4ACE" w:rsidRPr="008D168F" w:rsidRDefault="00B75716" w:rsidP="00B75716">
      <w:pPr>
        <w:jc w:val="both"/>
        <w:rPr>
          <w:rFonts w:ascii="Times New Roman" w:hAnsi="Times New Roman" w:cs="Times New Roman"/>
          <w:sz w:val="23"/>
          <w:szCs w:val="23"/>
          <w:lang w:val="en-US"/>
        </w:rPr>
      </w:pPr>
      <w:r w:rsidRPr="008D168F">
        <w:rPr>
          <w:rFonts w:ascii="Times New Roman" w:hAnsi="Times New Roman"/>
          <w:sz w:val="23"/>
          <w:szCs w:val="23"/>
          <w:lang w:val="en-US"/>
        </w:rPr>
        <w:t>Once the investigation activities are finished, forensic psychiatry shall be requested to carry out a psychological necropsy, through the application of the Istanbul Protocol, which is necessary to conduct for the offense of torture</w:t>
      </w:r>
      <w:r w:rsidR="000C4ACE" w:rsidRPr="008D168F">
        <w:rPr>
          <w:rFonts w:ascii="Times New Roman" w:hAnsi="Times New Roman" w:cs="Times New Roman"/>
          <w:sz w:val="23"/>
          <w:szCs w:val="23"/>
          <w:lang w:val="en-US"/>
        </w:rPr>
        <w:t>.</w:t>
      </w:r>
    </w:p>
    <w:p w14:paraId="7415E569" w14:textId="77777777" w:rsidR="000C4ACE" w:rsidRPr="008D168F" w:rsidRDefault="000C4ACE" w:rsidP="000C4ACE">
      <w:pPr>
        <w:jc w:val="both"/>
        <w:rPr>
          <w:rFonts w:ascii="Times New Roman" w:hAnsi="Times New Roman" w:cs="Times New Roman"/>
          <w:sz w:val="23"/>
          <w:szCs w:val="23"/>
          <w:lang w:val="en-US"/>
        </w:rPr>
      </w:pPr>
    </w:p>
    <w:p w14:paraId="43BB6E24" w14:textId="77777777" w:rsidR="00B75716" w:rsidRPr="008D168F" w:rsidRDefault="00B75716" w:rsidP="00B75716">
      <w:pPr>
        <w:jc w:val="both"/>
        <w:rPr>
          <w:rFonts w:ascii="Times New Roman" w:hAnsi="Times New Roman"/>
          <w:sz w:val="23"/>
          <w:szCs w:val="23"/>
          <w:lang w:val="en-US"/>
        </w:rPr>
      </w:pPr>
      <w:r w:rsidRPr="008D168F">
        <w:rPr>
          <w:rFonts w:ascii="Times New Roman" w:hAnsi="Times New Roman"/>
          <w:sz w:val="23"/>
          <w:szCs w:val="23"/>
          <w:lang w:val="en-US"/>
        </w:rPr>
        <w:t>Furthermore, the Sectional Directorate of Prosecutors’ Office in and for the Circuit of Cauca has assigned a team of investigators from the Unit of Life, articulated with the investigators of the Delegate for Citizens’ Safety. These officials work under the coordination of the Delegate and the district attorney for the territory, aimed at, through a great joint effort, clarifying, in the least possible time, what happened to this 17-year-old girl.</w:t>
      </w:r>
    </w:p>
    <w:p w14:paraId="087D282F" w14:textId="77777777" w:rsidR="00B75716" w:rsidRPr="008D168F" w:rsidRDefault="00B75716" w:rsidP="00B75716">
      <w:pPr>
        <w:jc w:val="both"/>
        <w:rPr>
          <w:rFonts w:ascii="Times New Roman" w:hAnsi="Times New Roman"/>
          <w:sz w:val="23"/>
          <w:szCs w:val="23"/>
          <w:lang w:val="en-US"/>
        </w:rPr>
      </w:pPr>
    </w:p>
    <w:p w14:paraId="447B4307" w14:textId="77777777" w:rsidR="00B75716" w:rsidRPr="008D168F" w:rsidRDefault="00B75716" w:rsidP="00B75716">
      <w:pPr>
        <w:jc w:val="both"/>
        <w:rPr>
          <w:rFonts w:ascii="Times New Roman" w:hAnsi="Times New Roman"/>
          <w:sz w:val="23"/>
          <w:szCs w:val="23"/>
          <w:lang w:val="en-US"/>
        </w:rPr>
      </w:pPr>
      <w:r w:rsidRPr="008D168F">
        <w:rPr>
          <w:rFonts w:ascii="Times New Roman" w:hAnsi="Times New Roman"/>
          <w:sz w:val="23"/>
          <w:szCs w:val="23"/>
          <w:lang w:val="en-US"/>
        </w:rPr>
        <w:t>After this incident, several serious acts of vandalism and attacks against the infrastructure of the Office of the Attorney General occurred. These include the assault and incineration of the Unit of Immediate Reaction and the facilities of the Forensic Medicine Institute, the destruction of forensic laboratories, the offices for the Integral Attention of Victims of Intra-family Violence, as well as the looting of evidentiary elements and loss of evidence.</w:t>
      </w:r>
    </w:p>
    <w:p w14:paraId="47C746F9" w14:textId="77777777" w:rsidR="00B75716" w:rsidRPr="008D168F" w:rsidRDefault="00B75716" w:rsidP="00B75716">
      <w:pPr>
        <w:jc w:val="both"/>
        <w:rPr>
          <w:rFonts w:ascii="Times New Roman" w:hAnsi="Times New Roman"/>
          <w:sz w:val="23"/>
          <w:szCs w:val="23"/>
          <w:lang w:val="en-US"/>
        </w:rPr>
      </w:pPr>
    </w:p>
    <w:p w14:paraId="4B76319A" w14:textId="42FA99B8" w:rsidR="000C4ACE" w:rsidRPr="008D168F" w:rsidRDefault="00B75716" w:rsidP="00B75716">
      <w:pPr>
        <w:jc w:val="both"/>
        <w:rPr>
          <w:rFonts w:ascii="Times New Roman" w:hAnsi="Times New Roman" w:cs="Times New Roman"/>
          <w:sz w:val="23"/>
          <w:szCs w:val="23"/>
          <w:lang w:val="en-US"/>
        </w:rPr>
      </w:pPr>
      <w:r w:rsidRPr="008D168F">
        <w:rPr>
          <w:rFonts w:ascii="Times New Roman" w:hAnsi="Times New Roman"/>
          <w:sz w:val="23"/>
          <w:szCs w:val="23"/>
          <w:lang w:val="en-US"/>
        </w:rPr>
        <w:t>In the framework of these outrages, the young man Sebastián Quintero Múnera lost his life. It is worth noting the difficulty to carry out urgent acts for this incident, including the necropsy of the dead young man. The foregoing, due to the fact the facilities of the Prosecutors’ Office were incinerated, the need to move the body to the Cali branch and the impossibility to do it by land, due to the roadblocks during the strikes. Thereby, the efforts of the Institution included the transfer of the corpse through helicopter. In summary, the activities conducted and expected for this death comprised: (i) an interview of the ESMAD commander, (ii) interviews of the sister, mother and a school friend and teacher of the victim, as well as eyewitnesses, (iii) the necropsy under the Minnesota Protocol, (iv) elaboration of victimologic profile and (v) gathering of videos</w:t>
      </w:r>
      <w:r w:rsidR="000C4ACE" w:rsidRPr="008D168F">
        <w:rPr>
          <w:rFonts w:ascii="Times New Roman" w:hAnsi="Times New Roman" w:cs="Times New Roman"/>
          <w:sz w:val="23"/>
          <w:szCs w:val="23"/>
          <w:lang w:val="en-US"/>
        </w:rPr>
        <w:t>.</w:t>
      </w:r>
    </w:p>
    <w:p w14:paraId="74CF37DB" w14:textId="069D37A1" w:rsidR="000C4ACE" w:rsidRPr="008D168F" w:rsidRDefault="000C4ACE" w:rsidP="000C4ACE">
      <w:pPr>
        <w:jc w:val="both"/>
        <w:rPr>
          <w:rFonts w:ascii="Times New Roman" w:hAnsi="Times New Roman" w:cs="Times New Roman"/>
          <w:sz w:val="23"/>
          <w:szCs w:val="23"/>
          <w:lang w:val="en-US"/>
        </w:rPr>
      </w:pPr>
    </w:p>
    <w:p w14:paraId="5EE473BF" w14:textId="240FEAAE" w:rsidR="008E3363" w:rsidRPr="008D168F" w:rsidRDefault="00B75716" w:rsidP="000C4ACE">
      <w:pPr>
        <w:pStyle w:val="Prrafodelista"/>
        <w:numPr>
          <w:ilvl w:val="0"/>
          <w:numId w:val="15"/>
        </w:numPr>
        <w:jc w:val="both"/>
        <w:rPr>
          <w:rFonts w:ascii="Times New Roman" w:hAnsi="Times New Roman" w:cs="Times New Roman"/>
          <w:b/>
          <w:bCs/>
          <w:sz w:val="23"/>
          <w:szCs w:val="23"/>
          <w:lang w:val="en-US"/>
        </w:rPr>
      </w:pPr>
      <w:r w:rsidRPr="008D168F">
        <w:rPr>
          <w:rFonts w:ascii="Times New Roman" w:hAnsi="Times New Roman" w:cs="Times New Roman"/>
          <w:b/>
          <w:bCs/>
          <w:sz w:val="23"/>
          <w:szCs w:val="23"/>
          <w:lang w:val="en-US"/>
        </w:rPr>
        <w:t xml:space="preserve">Facts that took place in the city of </w:t>
      </w:r>
      <w:r w:rsidR="000C4ACE" w:rsidRPr="008D168F">
        <w:rPr>
          <w:rFonts w:ascii="Times New Roman" w:hAnsi="Times New Roman" w:cs="Times New Roman"/>
          <w:b/>
          <w:bCs/>
          <w:sz w:val="23"/>
          <w:szCs w:val="23"/>
          <w:lang w:val="en-US"/>
        </w:rPr>
        <w:t xml:space="preserve">Cali </w:t>
      </w:r>
    </w:p>
    <w:p w14:paraId="18D59CA5" w14:textId="1B675381" w:rsidR="000C4ACE" w:rsidRPr="008D168F" w:rsidRDefault="000C4ACE" w:rsidP="000C4ACE">
      <w:pPr>
        <w:jc w:val="both"/>
        <w:rPr>
          <w:rFonts w:ascii="Times New Roman" w:hAnsi="Times New Roman" w:cs="Times New Roman"/>
          <w:b/>
          <w:bCs/>
          <w:sz w:val="23"/>
          <w:szCs w:val="23"/>
          <w:lang w:val="en-US"/>
        </w:rPr>
      </w:pPr>
    </w:p>
    <w:p w14:paraId="40B3A6A0" w14:textId="3366DE02" w:rsidR="000C4ACE" w:rsidRPr="008D168F" w:rsidRDefault="00D52BFA" w:rsidP="000C4ACE">
      <w:pPr>
        <w:jc w:val="both"/>
        <w:rPr>
          <w:rFonts w:ascii="Times New Roman" w:hAnsi="Times New Roman" w:cs="Times New Roman"/>
          <w:sz w:val="23"/>
          <w:szCs w:val="23"/>
          <w:lang w:val="en-US"/>
        </w:rPr>
      </w:pPr>
      <w:r w:rsidRPr="008D168F">
        <w:rPr>
          <w:rFonts w:ascii="Times New Roman" w:hAnsi="Times New Roman"/>
          <w:sz w:val="23"/>
          <w:szCs w:val="23"/>
          <w:lang w:val="en-US"/>
        </w:rPr>
        <w:t>At the Sectional Directorate of Cali, seven homicides are being investigated attributed to members of the Public Force in the framework of strikes. To this regard, the Office of the Attorney General shows results of effective prosecution in one of them. It is the preventive detention measure in a penitentiary issued against the patrolman Luís Ángel Piedrahita Hernández, who might have caused the death of the young man Marcelo Agredo Inchima, on April 28, 2021. The evidence allowed to establish, technically and forensic, the presumed responsibility of this officer in the facts; therefore, he was charged for aggravated homicide</w:t>
      </w:r>
      <w:r w:rsidR="000C4ACE" w:rsidRPr="008D168F">
        <w:rPr>
          <w:rFonts w:ascii="Times New Roman" w:hAnsi="Times New Roman" w:cs="Times New Roman"/>
          <w:sz w:val="23"/>
          <w:szCs w:val="23"/>
          <w:lang w:val="en-US"/>
        </w:rPr>
        <w:t>.</w:t>
      </w:r>
    </w:p>
    <w:p w14:paraId="63217818" w14:textId="16092862" w:rsidR="000C4ACE" w:rsidRPr="008D168F" w:rsidRDefault="000C4ACE" w:rsidP="000C4ACE">
      <w:pPr>
        <w:jc w:val="both"/>
        <w:rPr>
          <w:rFonts w:ascii="Times New Roman" w:hAnsi="Times New Roman" w:cs="Times New Roman"/>
          <w:sz w:val="23"/>
          <w:szCs w:val="23"/>
          <w:lang w:val="en-US"/>
        </w:rPr>
      </w:pPr>
    </w:p>
    <w:p w14:paraId="785EEE25" w14:textId="10EAD248" w:rsidR="000C4ACE" w:rsidRPr="008D168F" w:rsidRDefault="00D27A96" w:rsidP="000C4ACE">
      <w:pPr>
        <w:pStyle w:val="Prrafodelista"/>
        <w:numPr>
          <w:ilvl w:val="0"/>
          <w:numId w:val="15"/>
        </w:numPr>
        <w:jc w:val="both"/>
        <w:rPr>
          <w:rFonts w:ascii="Times New Roman" w:hAnsi="Times New Roman" w:cs="Times New Roman"/>
          <w:b/>
          <w:bCs/>
          <w:sz w:val="23"/>
          <w:szCs w:val="23"/>
          <w:lang w:val="en-US"/>
        </w:rPr>
      </w:pPr>
      <w:r w:rsidRPr="008D168F">
        <w:rPr>
          <w:rFonts w:ascii="Times New Roman" w:hAnsi="Times New Roman" w:cs="Times New Roman"/>
          <w:b/>
          <w:bCs/>
          <w:sz w:val="23"/>
          <w:szCs w:val="23"/>
          <w:lang w:val="en-US"/>
        </w:rPr>
        <w:t xml:space="preserve">Facts that took place in </w:t>
      </w:r>
      <w:r w:rsidR="000C4ACE" w:rsidRPr="008D168F">
        <w:rPr>
          <w:rFonts w:ascii="Times New Roman" w:hAnsi="Times New Roman" w:cs="Times New Roman"/>
          <w:b/>
          <w:bCs/>
          <w:sz w:val="23"/>
          <w:szCs w:val="23"/>
          <w:lang w:val="en-US"/>
        </w:rPr>
        <w:t xml:space="preserve">La Plata, Huila </w:t>
      </w:r>
    </w:p>
    <w:p w14:paraId="4BD5FDD4" w14:textId="1A97A70D" w:rsidR="000C4ACE" w:rsidRPr="008D168F" w:rsidRDefault="000C4ACE" w:rsidP="000C4ACE">
      <w:pPr>
        <w:jc w:val="both"/>
        <w:rPr>
          <w:rFonts w:ascii="Times New Roman" w:hAnsi="Times New Roman" w:cs="Times New Roman"/>
          <w:sz w:val="23"/>
          <w:szCs w:val="23"/>
          <w:lang w:val="en-US"/>
        </w:rPr>
      </w:pPr>
    </w:p>
    <w:p w14:paraId="62281EE7" w14:textId="0A0188E0" w:rsidR="00D52BFA" w:rsidRPr="008D168F" w:rsidRDefault="00D52BFA" w:rsidP="00D52BFA">
      <w:pPr>
        <w:jc w:val="both"/>
        <w:rPr>
          <w:rFonts w:ascii="Times New Roman" w:hAnsi="Times New Roman"/>
          <w:sz w:val="23"/>
          <w:szCs w:val="23"/>
          <w:lang w:val="en-US"/>
        </w:rPr>
      </w:pPr>
      <w:r w:rsidRPr="008D168F">
        <w:rPr>
          <w:rFonts w:ascii="Times New Roman" w:hAnsi="Times New Roman"/>
          <w:sz w:val="23"/>
          <w:szCs w:val="23"/>
          <w:lang w:val="en-US"/>
        </w:rPr>
        <w:t xml:space="preserve">According to preliminary findings, on May 16, 2021, several individuals were sharing some time at a family dwelling. At 4:20 in the morning, a patrol car of the Colombian National Police arrived at the place and asked to stop the gathering, since it was violating the curfew, which is in force after 10:00 at night. This upset the individuals present at the place, which had some words exchange with the police officers. Later, one of these </w:t>
      </w:r>
      <w:r w:rsidR="00AA0BD6" w:rsidRPr="008D168F">
        <w:rPr>
          <w:rFonts w:ascii="Times New Roman" w:hAnsi="Times New Roman"/>
          <w:sz w:val="23"/>
          <w:szCs w:val="23"/>
          <w:lang w:val="en-US"/>
        </w:rPr>
        <w:t xml:space="preserve">officers </w:t>
      </w:r>
      <w:r w:rsidRPr="008D168F">
        <w:rPr>
          <w:rFonts w:ascii="Times New Roman" w:hAnsi="Times New Roman"/>
          <w:sz w:val="23"/>
          <w:szCs w:val="23"/>
          <w:lang w:val="en-US"/>
        </w:rPr>
        <w:t>attack</w:t>
      </w:r>
      <w:r w:rsidR="00AA0BD6" w:rsidRPr="008D168F">
        <w:rPr>
          <w:rFonts w:ascii="Times New Roman" w:hAnsi="Times New Roman"/>
          <w:sz w:val="23"/>
          <w:szCs w:val="23"/>
          <w:lang w:val="en-US"/>
        </w:rPr>
        <w:t>ed</w:t>
      </w:r>
      <w:r w:rsidRPr="008D168F">
        <w:rPr>
          <w:rFonts w:ascii="Times New Roman" w:hAnsi="Times New Roman"/>
          <w:sz w:val="23"/>
          <w:szCs w:val="23"/>
          <w:lang w:val="en-US"/>
        </w:rPr>
        <w:t xml:space="preserve"> one of the citizens with his police stick, who reacted and jumped over the police officer. Once on the ground, this official drew his official gun and shot Mr. Diego Andrés Perdomo Soto three times. </w:t>
      </w:r>
    </w:p>
    <w:p w14:paraId="38366447" w14:textId="77777777" w:rsidR="00D52BFA" w:rsidRPr="008D168F" w:rsidRDefault="00D52BFA" w:rsidP="00D52BFA">
      <w:pPr>
        <w:jc w:val="both"/>
        <w:rPr>
          <w:rFonts w:ascii="Times New Roman" w:hAnsi="Times New Roman"/>
          <w:sz w:val="23"/>
          <w:szCs w:val="23"/>
          <w:lang w:val="en-US"/>
        </w:rPr>
      </w:pPr>
    </w:p>
    <w:p w14:paraId="19B1C1E6" w14:textId="77777777" w:rsidR="00D52BFA" w:rsidRPr="008D168F" w:rsidRDefault="00D52BFA" w:rsidP="00D52BFA">
      <w:pPr>
        <w:jc w:val="both"/>
        <w:rPr>
          <w:rFonts w:ascii="Times New Roman" w:hAnsi="Times New Roman"/>
          <w:sz w:val="23"/>
          <w:szCs w:val="23"/>
          <w:lang w:val="en-US"/>
        </w:rPr>
      </w:pPr>
      <w:r w:rsidRPr="008D168F">
        <w:rPr>
          <w:rFonts w:ascii="Times New Roman" w:hAnsi="Times New Roman"/>
          <w:sz w:val="23"/>
          <w:szCs w:val="23"/>
          <w:lang w:val="en-US"/>
        </w:rPr>
        <w:t>After these facts, several activities were conducted. After the patient was sent to a clinic in the city of Neiva: (i) interviews were taken from some witnesses of the facts, including the victim’s mother; (ii) the patient’s epicrisis was obtained, who is currently in induced comma; (iii) an inspection was carried out at the site of the facts; (iv) the Commander at the Police Station of La Plata was asked to provide the list of the personnel who participated in the facts, as well as the name of the policeman who shot his official weapon and the report of ammunition used; (v) the official weapons of the agents involved were obtained, which were wrapped and labeled and the relevant ballistics analysis was requested; and (vi) a CD was gathered, provided by the victim’s brother, which contains videos of the facts occurred.</w:t>
      </w:r>
    </w:p>
    <w:p w14:paraId="536860AE" w14:textId="77777777" w:rsidR="00D52BFA" w:rsidRPr="008D168F" w:rsidRDefault="00D52BFA" w:rsidP="00D52BFA">
      <w:pPr>
        <w:jc w:val="both"/>
        <w:rPr>
          <w:rFonts w:ascii="Times New Roman" w:hAnsi="Times New Roman"/>
          <w:sz w:val="23"/>
          <w:szCs w:val="23"/>
          <w:lang w:val="en-US"/>
        </w:rPr>
      </w:pPr>
    </w:p>
    <w:p w14:paraId="2495D2D0" w14:textId="0F9A8B9E" w:rsidR="000C4ACE" w:rsidRPr="008D168F" w:rsidRDefault="00D52BFA" w:rsidP="00D52BFA">
      <w:pPr>
        <w:jc w:val="both"/>
        <w:rPr>
          <w:rFonts w:ascii="Times New Roman" w:hAnsi="Times New Roman" w:cs="Times New Roman"/>
          <w:sz w:val="23"/>
          <w:szCs w:val="23"/>
          <w:lang w:val="en-US"/>
        </w:rPr>
      </w:pPr>
      <w:r w:rsidRPr="008D168F">
        <w:rPr>
          <w:rFonts w:ascii="Times New Roman" w:hAnsi="Times New Roman"/>
          <w:sz w:val="23"/>
          <w:szCs w:val="23"/>
          <w:lang w:val="en-US"/>
        </w:rPr>
        <w:t>As a result of these fact, the community in La Plata carried out an encampment to one side of the National Police facilities. This triggered some riots, which led to the destruction of municipal facilities such as the Mayor’s Office, Casa de la Justicia (Justice House) – where the Ombudsman Office was –, the Police Facilities, Commissariats for Family, the Forensic Medicine Institute and National Police Offices for Childhood and Adolescence. Similarly, the destruction of window glasses of the Prosecutors’ Office, where local, sectional prosecutors’ office were operating and Prosecutor General’s Technical Corps of Investigation</w:t>
      </w:r>
      <w:r w:rsidR="000C4ACE" w:rsidRPr="008D168F">
        <w:rPr>
          <w:rFonts w:ascii="Times New Roman" w:hAnsi="Times New Roman" w:cs="Times New Roman"/>
          <w:sz w:val="23"/>
          <w:szCs w:val="23"/>
          <w:lang w:val="en-US"/>
        </w:rPr>
        <w:t>.</w:t>
      </w:r>
      <w:r w:rsidR="00182A8B" w:rsidRPr="008D168F">
        <w:rPr>
          <w:rFonts w:ascii="Times New Roman" w:hAnsi="Times New Roman" w:cs="Times New Roman"/>
          <w:sz w:val="23"/>
          <w:szCs w:val="23"/>
          <w:lang w:val="en-US"/>
        </w:rPr>
        <w:t xml:space="preserve"> </w:t>
      </w:r>
    </w:p>
    <w:p w14:paraId="1B0DE3F7" w14:textId="77777777" w:rsidR="008E3363" w:rsidRPr="008D168F" w:rsidRDefault="008E3363" w:rsidP="008E3363">
      <w:pPr>
        <w:jc w:val="both"/>
        <w:rPr>
          <w:rFonts w:ascii="Times New Roman" w:hAnsi="Times New Roman" w:cs="Times New Roman"/>
          <w:b/>
          <w:bCs/>
          <w:i/>
          <w:iCs/>
          <w:sz w:val="23"/>
          <w:szCs w:val="23"/>
          <w:lang w:val="en-US"/>
        </w:rPr>
      </w:pPr>
    </w:p>
    <w:p w14:paraId="6DADC883" w14:textId="27E0B9AF" w:rsidR="008E3363" w:rsidRPr="008D168F" w:rsidRDefault="00FD6160" w:rsidP="00016E44">
      <w:pPr>
        <w:pStyle w:val="Prrafodelista"/>
        <w:numPr>
          <w:ilvl w:val="0"/>
          <w:numId w:val="4"/>
        </w:numPr>
        <w:jc w:val="both"/>
        <w:rPr>
          <w:rFonts w:ascii="Times New Roman" w:hAnsi="Times New Roman" w:cs="Times New Roman"/>
          <w:b/>
          <w:bCs/>
          <w:smallCaps/>
          <w:sz w:val="23"/>
          <w:szCs w:val="23"/>
          <w:lang w:val="en-US"/>
        </w:rPr>
      </w:pPr>
      <w:r w:rsidRPr="008D168F">
        <w:rPr>
          <w:rFonts w:ascii="Times New Roman" w:hAnsi="Times New Roman"/>
          <w:b/>
          <w:bCs/>
          <w:smallCaps/>
          <w:sz w:val="23"/>
          <w:szCs w:val="23"/>
          <w:lang w:val="en-US"/>
        </w:rPr>
        <w:t>Conclusions</w:t>
      </w:r>
    </w:p>
    <w:p w14:paraId="7DE3916F" w14:textId="791358DA" w:rsidR="000C1A41" w:rsidRPr="008D168F" w:rsidRDefault="000C1A41" w:rsidP="00016E44">
      <w:pPr>
        <w:jc w:val="both"/>
        <w:rPr>
          <w:rFonts w:ascii="Times New Roman" w:hAnsi="Times New Roman" w:cs="Times New Roman"/>
          <w:sz w:val="23"/>
          <w:szCs w:val="23"/>
          <w:lang w:val="en-US"/>
        </w:rPr>
      </w:pPr>
    </w:p>
    <w:p w14:paraId="20550C31" w14:textId="699110DC" w:rsidR="00A750FC" w:rsidRPr="008D168F" w:rsidRDefault="005A1CAC" w:rsidP="008E3363">
      <w:pPr>
        <w:pStyle w:val="Prrafodelista"/>
        <w:numPr>
          <w:ilvl w:val="0"/>
          <w:numId w:val="6"/>
        </w:numPr>
        <w:jc w:val="both"/>
        <w:rPr>
          <w:rFonts w:ascii="Times New Roman" w:hAnsi="Times New Roman" w:cs="Times New Roman"/>
          <w:sz w:val="23"/>
          <w:szCs w:val="23"/>
          <w:lang w:val="en-US"/>
        </w:rPr>
      </w:pPr>
      <w:r w:rsidRPr="008D168F">
        <w:rPr>
          <w:rFonts w:ascii="Times New Roman" w:hAnsi="Times New Roman"/>
          <w:sz w:val="23"/>
          <w:szCs w:val="23"/>
          <w:lang w:val="en-US"/>
        </w:rPr>
        <w:t>The Office of the Attorney General of the Republic of Colombia recognizes the importance of the fundamental right to social protest and has prioritized the affectations thereof, including the excesses committed by members of the Public Force, under the standards of objectivity and due diligence</w:t>
      </w:r>
      <w:r w:rsidR="00A750FC" w:rsidRPr="008D168F">
        <w:rPr>
          <w:rFonts w:ascii="Times New Roman" w:hAnsi="Times New Roman" w:cs="Times New Roman"/>
          <w:sz w:val="23"/>
          <w:szCs w:val="23"/>
          <w:lang w:val="en-US"/>
        </w:rPr>
        <w:t>.</w:t>
      </w:r>
    </w:p>
    <w:p w14:paraId="1063C9C3" w14:textId="77777777" w:rsidR="00A750FC" w:rsidRPr="008D168F" w:rsidRDefault="00A750FC" w:rsidP="00A750FC">
      <w:pPr>
        <w:pStyle w:val="Prrafodelista"/>
        <w:jc w:val="both"/>
        <w:rPr>
          <w:rFonts w:ascii="Times New Roman" w:hAnsi="Times New Roman" w:cs="Times New Roman"/>
          <w:sz w:val="23"/>
          <w:szCs w:val="23"/>
          <w:lang w:val="en-US"/>
        </w:rPr>
      </w:pPr>
    </w:p>
    <w:p w14:paraId="1E506501" w14:textId="346A5F87" w:rsidR="00DA40C2" w:rsidRPr="008D168F" w:rsidRDefault="005A1CAC" w:rsidP="00A750FC">
      <w:pPr>
        <w:pStyle w:val="Prrafodelista"/>
        <w:numPr>
          <w:ilvl w:val="0"/>
          <w:numId w:val="6"/>
        </w:numPr>
        <w:jc w:val="both"/>
        <w:rPr>
          <w:rFonts w:ascii="Times New Roman" w:hAnsi="Times New Roman" w:cs="Times New Roman"/>
          <w:sz w:val="23"/>
          <w:szCs w:val="23"/>
          <w:lang w:val="en-US"/>
        </w:rPr>
      </w:pPr>
      <w:r w:rsidRPr="008D168F">
        <w:rPr>
          <w:rFonts w:ascii="Times New Roman" w:hAnsi="Times New Roman"/>
          <w:sz w:val="23"/>
          <w:szCs w:val="23"/>
          <w:lang w:val="en-US"/>
        </w:rPr>
        <w:t>It does not constitute an obstacle for the accusatory institution to investigate and exercise the criminal action with respect to all the other punishable behaviors developed within the framework or due to social protest social, since it is part of its constitutional responsibility. This includes the prosecution of individuals and criminal organizations that take advantage of this situation to commit violent acts against institutions and third parties, and that, at the discretion of the Office of the Attorney General, it has nothing to do with those who exercise pacific strikes. Besides, it includes prosecuting the commission of acts aimed at generating terror and unease in the population, in accordance with evidentiary material elements, physical evidence and information legally obtained, as well as the strict observance to the principle of legality, in each specific case</w:t>
      </w:r>
      <w:r w:rsidR="00CD5157" w:rsidRPr="008D168F">
        <w:rPr>
          <w:rFonts w:ascii="Times New Roman" w:hAnsi="Times New Roman" w:cs="Times New Roman"/>
          <w:sz w:val="23"/>
          <w:szCs w:val="23"/>
          <w:lang w:val="en-US"/>
        </w:rPr>
        <w:t>.</w:t>
      </w:r>
    </w:p>
    <w:p w14:paraId="31A01608" w14:textId="77777777" w:rsidR="00D43D25" w:rsidRPr="008D168F" w:rsidRDefault="00D43D25" w:rsidP="00D43D25">
      <w:pPr>
        <w:pStyle w:val="Prrafodelista"/>
        <w:rPr>
          <w:rFonts w:ascii="Times New Roman" w:hAnsi="Times New Roman" w:cs="Times New Roman"/>
          <w:sz w:val="23"/>
          <w:szCs w:val="23"/>
          <w:lang w:val="en-US"/>
        </w:rPr>
      </w:pPr>
    </w:p>
    <w:p w14:paraId="7E7D8D3B" w14:textId="7C6261AE" w:rsidR="00D43D25" w:rsidRPr="008D168F" w:rsidRDefault="005A1CAC" w:rsidP="00A750FC">
      <w:pPr>
        <w:pStyle w:val="Prrafodelista"/>
        <w:numPr>
          <w:ilvl w:val="0"/>
          <w:numId w:val="6"/>
        </w:numPr>
        <w:jc w:val="both"/>
        <w:rPr>
          <w:rFonts w:ascii="Times New Roman" w:hAnsi="Times New Roman" w:cs="Times New Roman"/>
          <w:sz w:val="23"/>
          <w:szCs w:val="23"/>
          <w:lang w:val="en-US"/>
        </w:rPr>
      </w:pPr>
      <w:r w:rsidRPr="008D168F">
        <w:rPr>
          <w:rFonts w:ascii="Times New Roman" w:hAnsi="Times New Roman"/>
          <w:sz w:val="23"/>
          <w:szCs w:val="23"/>
          <w:lang w:val="en-US"/>
        </w:rPr>
        <w:t>It is worth noting that the Office of the Attorney General addresses its investigations for all those facts taking into consideration the particular context of each one of the territories. The purpose of the Institution has been to work the criminal phenomena through the identification of crime and situation patterns, instead of addressing case by case isolately. This strategy includes the acts of vandalism and terrorism, as the possible configuration of behavior patterns inside guaranteeing public order institutions</w:t>
      </w:r>
      <w:r w:rsidR="00C63AB0" w:rsidRPr="008D168F">
        <w:rPr>
          <w:rFonts w:ascii="Times New Roman" w:hAnsi="Times New Roman" w:cs="Times New Roman"/>
          <w:sz w:val="23"/>
          <w:szCs w:val="23"/>
          <w:lang w:val="en-US"/>
        </w:rPr>
        <w:t>.</w:t>
      </w:r>
    </w:p>
    <w:p w14:paraId="5C02D1A7" w14:textId="77777777" w:rsidR="00DA40C2" w:rsidRPr="008D168F" w:rsidRDefault="00DA40C2" w:rsidP="00DA40C2">
      <w:pPr>
        <w:pStyle w:val="Prrafodelista"/>
        <w:rPr>
          <w:rFonts w:ascii="Times New Roman" w:hAnsi="Times New Roman" w:cs="Times New Roman"/>
          <w:sz w:val="23"/>
          <w:szCs w:val="23"/>
          <w:lang w:val="en-US"/>
        </w:rPr>
      </w:pPr>
    </w:p>
    <w:p w14:paraId="76448A38" w14:textId="5D5E259E" w:rsidR="001B4202" w:rsidRPr="008D168F" w:rsidRDefault="005A1CAC" w:rsidP="00A750FC">
      <w:pPr>
        <w:pStyle w:val="Prrafodelista"/>
        <w:numPr>
          <w:ilvl w:val="0"/>
          <w:numId w:val="6"/>
        </w:numPr>
        <w:jc w:val="both"/>
        <w:rPr>
          <w:rFonts w:ascii="Times New Roman" w:hAnsi="Times New Roman" w:cs="Times New Roman"/>
          <w:sz w:val="23"/>
          <w:szCs w:val="23"/>
          <w:lang w:val="en-US"/>
        </w:rPr>
      </w:pPr>
      <w:r w:rsidRPr="008D168F">
        <w:rPr>
          <w:rFonts w:ascii="Times New Roman" w:hAnsi="Times New Roman"/>
          <w:sz w:val="23"/>
          <w:szCs w:val="23"/>
          <w:lang w:val="en-US"/>
        </w:rPr>
        <w:t>The attempts committed against the infrastructure of the Office of the Attorney General are attempts against the administration of justice and judicial independence. These, also, jeopardize the rights to the truth, justice, reparation and guarantees of no repetition, intrinsic to criminal investigations progress</w:t>
      </w:r>
      <w:r w:rsidR="00A82BD2" w:rsidRPr="008D168F">
        <w:rPr>
          <w:rFonts w:ascii="Times New Roman" w:hAnsi="Times New Roman" w:cs="Times New Roman"/>
          <w:sz w:val="23"/>
          <w:szCs w:val="23"/>
          <w:lang w:val="en-US"/>
        </w:rPr>
        <w:t>.</w:t>
      </w:r>
      <w:r w:rsidR="008D2447" w:rsidRPr="008D168F">
        <w:rPr>
          <w:rFonts w:ascii="Times New Roman" w:hAnsi="Times New Roman" w:cs="Times New Roman"/>
          <w:sz w:val="23"/>
          <w:szCs w:val="23"/>
          <w:lang w:val="en-US"/>
        </w:rPr>
        <w:t xml:space="preserve">  </w:t>
      </w:r>
      <w:r w:rsidR="00A750FC" w:rsidRPr="008D168F">
        <w:rPr>
          <w:rFonts w:ascii="Times New Roman" w:hAnsi="Times New Roman" w:cs="Times New Roman"/>
          <w:sz w:val="23"/>
          <w:szCs w:val="23"/>
          <w:lang w:val="en-US"/>
        </w:rPr>
        <w:t xml:space="preserve">  </w:t>
      </w:r>
      <w:r w:rsidR="000C1A9A" w:rsidRPr="008D168F">
        <w:rPr>
          <w:rFonts w:ascii="Times New Roman" w:hAnsi="Times New Roman" w:cs="Times New Roman"/>
          <w:sz w:val="23"/>
          <w:szCs w:val="23"/>
          <w:lang w:val="en-US"/>
        </w:rPr>
        <w:t xml:space="preserve"> </w:t>
      </w:r>
    </w:p>
    <w:p w14:paraId="4C1FD314" w14:textId="75EE0526" w:rsidR="001B4202" w:rsidRPr="008D168F" w:rsidRDefault="001B4202" w:rsidP="00016E44">
      <w:pPr>
        <w:jc w:val="both"/>
        <w:rPr>
          <w:rFonts w:ascii="Times New Roman" w:hAnsi="Times New Roman" w:cs="Times New Roman"/>
          <w:sz w:val="23"/>
          <w:szCs w:val="23"/>
          <w:lang w:val="en-US"/>
        </w:rPr>
      </w:pPr>
    </w:p>
    <w:p w14:paraId="553E1336" w14:textId="77777777" w:rsidR="005A1CAC" w:rsidRPr="008D168F" w:rsidRDefault="005A1CAC" w:rsidP="005A1CAC">
      <w:pPr>
        <w:jc w:val="both"/>
        <w:rPr>
          <w:rFonts w:ascii="Times New Roman" w:hAnsi="Times New Roman"/>
          <w:sz w:val="23"/>
          <w:szCs w:val="23"/>
          <w:lang w:val="en-US"/>
        </w:rPr>
      </w:pPr>
      <w:r w:rsidRPr="008D168F">
        <w:rPr>
          <w:rFonts w:ascii="Times New Roman" w:hAnsi="Times New Roman"/>
          <w:sz w:val="23"/>
          <w:szCs w:val="23"/>
          <w:lang w:val="en-US"/>
        </w:rPr>
        <w:t xml:space="preserve">The Office of the Attorney General of the Republic of Colombia avails of this opportunity to reiterate the assurance of the highest considerations. </w:t>
      </w:r>
    </w:p>
    <w:p w14:paraId="4973E6D8" w14:textId="77777777" w:rsidR="005A1CAC" w:rsidRPr="008D168F" w:rsidRDefault="005A1CAC" w:rsidP="005A1CAC">
      <w:pPr>
        <w:jc w:val="both"/>
        <w:rPr>
          <w:rFonts w:ascii="Times New Roman" w:hAnsi="Times New Roman"/>
          <w:sz w:val="23"/>
          <w:szCs w:val="23"/>
          <w:lang w:val="en-US"/>
        </w:rPr>
      </w:pPr>
    </w:p>
    <w:p w14:paraId="7E6BB957" w14:textId="77777777" w:rsidR="005A1CAC" w:rsidRPr="008D168F" w:rsidRDefault="005A1CAC" w:rsidP="005A1CAC">
      <w:pPr>
        <w:jc w:val="both"/>
        <w:rPr>
          <w:rFonts w:ascii="Times New Roman" w:hAnsi="Times New Roman"/>
          <w:sz w:val="23"/>
          <w:szCs w:val="23"/>
          <w:lang w:val="en-US"/>
        </w:rPr>
      </w:pPr>
    </w:p>
    <w:p w14:paraId="05B24CC0" w14:textId="77777777" w:rsidR="005A1CAC" w:rsidRPr="008D168F" w:rsidRDefault="005A1CAC" w:rsidP="005A1CAC">
      <w:pPr>
        <w:rPr>
          <w:rFonts w:ascii="Times New Roman" w:hAnsi="Times New Roman"/>
          <w:sz w:val="23"/>
          <w:szCs w:val="23"/>
          <w:lang w:val="en-US"/>
        </w:rPr>
      </w:pPr>
      <w:r w:rsidRPr="008D168F">
        <w:rPr>
          <w:rFonts w:ascii="Times New Roman" w:hAnsi="Times New Roman"/>
          <w:sz w:val="23"/>
          <w:szCs w:val="23"/>
          <w:lang w:val="en-US"/>
        </w:rPr>
        <w:t xml:space="preserve">                                                                                                          Bogotá, D.C., May 18, 2021                                                </w:t>
      </w:r>
    </w:p>
    <w:p w14:paraId="243704E5" w14:textId="77777777" w:rsidR="005A1CAC" w:rsidRPr="008D168F" w:rsidRDefault="005A1CAC" w:rsidP="005A1CAC">
      <w:pPr>
        <w:rPr>
          <w:rFonts w:ascii="Times New Roman" w:hAnsi="Times New Roman"/>
          <w:sz w:val="23"/>
          <w:szCs w:val="23"/>
          <w:lang w:val="en-US"/>
        </w:rPr>
      </w:pPr>
    </w:p>
    <w:p w14:paraId="56CCF629" w14:textId="468EB1C6" w:rsidR="000C2327" w:rsidRPr="008D168F" w:rsidRDefault="005A1CAC" w:rsidP="005A1CAC">
      <w:pPr>
        <w:rPr>
          <w:rFonts w:ascii="Times New Roman" w:hAnsi="Times New Roman" w:cs="Times New Roman"/>
          <w:sz w:val="23"/>
          <w:szCs w:val="23"/>
          <w:lang w:val="en-US"/>
        </w:rPr>
      </w:pPr>
      <w:r w:rsidRPr="008D168F">
        <w:rPr>
          <w:rFonts w:ascii="Times New Roman" w:hAnsi="Times New Roman"/>
          <w:sz w:val="23"/>
          <w:szCs w:val="23"/>
          <w:lang w:val="en-US"/>
        </w:rPr>
        <w:t>To the honorable ladies and gentlemen</w:t>
      </w:r>
    </w:p>
    <w:p w14:paraId="100C6428" w14:textId="77777777" w:rsidR="000C2327" w:rsidRPr="008D168F" w:rsidRDefault="000C2327" w:rsidP="000C2327">
      <w:pPr>
        <w:rPr>
          <w:rFonts w:ascii="Times New Roman" w:hAnsi="Times New Roman" w:cs="Times New Roman"/>
          <w:sz w:val="23"/>
          <w:szCs w:val="23"/>
          <w:lang w:val="en-US"/>
        </w:rPr>
      </w:pPr>
    </w:p>
    <w:p w14:paraId="4DD9BBDC" w14:textId="77777777" w:rsidR="00243313" w:rsidRPr="008D168F" w:rsidRDefault="00243313" w:rsidP="00243313">
      <w:pPr>
        <w:rPr>
          <w:rFonts w:ascii="Times New Roman" w:hAnsi="Times New Roman"/>
          <w:b/>
          <w:bCs/>
          <w:sz w:val="23"/>
          <w:szCs w:val="23"/>
          <w:lang w:val="en-US"/>
        </w:rPr>
      </w:pPr>
      <w:r w:rsidRPr="008D168F">
        <w:rPr>
          <w:rFonts w:ascii="Times New Roman" w:hAnsi="Times New Roman"/>
          <w:b/>
          <w:bCs/>
          <w:sz w:val="23"/>
          <w:szCs w:val="23"/>
          <w:lang w:val="en-US"/>
        </w:rPr>
        <w:t xml:space="preserve">TANIA RENEAUM </w:t>
      </w:r>
    </w:p>
    <w:p w14:paraId="3508C482" w14:textId="77777777" w:rsidR="00243313" w:rsidRPr="008D168F" w:rsidRDefault="00243313" w:rsidP="00243313">
      <w:pPr>
        <w:rPr>
          <w:rFonts w:ascii="Times New Roman" w:hAnsi="Times New Roman"/>
          <w:sz w:val="23"/>
          <w:szCs w:val="23"/>
          <w:lang w:val="en-US"/>
        </w:rPr>
      </w:pPr>
      <w:r w:rsidRPr="008D168F">
        <w:rPr>
          <w:rFonts w:ascii="Times New Roman" w:hAnsi="Times New Roman"/>
          <w:sz w:val="23"/>
          <w:szCs w:val="23"/>
          <w:lang w:val="en-US"/>
        </w:rPr>
        <w:t>Executive Secretary</w:t>
      </w:r>
    </w:p>
    <w:p w14:paraId="2C67840C" w14:textId="77777777" w:rsidR="00243313" w:rsidRPr="008D168F" w:rsidRDefault="00243313" w:rsidP="00243313">
      <w:pPr>
        <w:rPr>
          <w:rFonts w:ascii="Times New Roman" w:hAnsi="Times New Roman"/>
          <w:sz w:val="23"/>
          <w:szCs w:val="23"/>
          <w:lang w:val="en-US"/>
        </w:rPr>
      </w:pPr>
      <w:r w:rsidRPr="008D168F">
        <w:rPr>
          <w:rFonts w:ascii="Times New Roman" w:hAnsi="Times New Roman"/>
          <w:sz w:val="23"/>
          <w:szCs w:val="23"/>
          <w:lang w:val="en-US"/>
        </w:rPr>
        <w:t xml:space="preserve">Inter-American Commission of Human Rights </w:t>
      </w:r>
    </w:p>
    <w:p w14:paraId="1A418B84" w14:textId="77777777" w:rsidR="00243313" w:rsidRPr="008D168F" w:rsidRDefault="00243313" w:rsidP="00243313">
      <w:pPr>
        <w:rPr>
          <w:rFonts w:ascii="Times New Roman" w:hAnsi="Times New Roman"/>
          <w:sz w:val="23"/>
          <w:szCs w:val="23"/>
          <w:lang w:val="en-US"/>
        </w:rPr>
      </w:pPr>
    </w:p>
    <w:p w14:paraId="5F92018C" w14:textId="77777777" w:rsidR="00243313" w:rsidRPr="008D168F" w:rsidRDefault="00243313" w:rsidP="00243313">
      <w:pPr>
        <w:rPr>
          <w:rFonts w:ascii="Times New Roman" w:hAnsi="Times New Roman"/>
          <w:b/>
          <w:bCs/>
          <w:sz w:val="23"/>
          <w:szCs w:val="23"/>
          <w:lang w:val="en-US"/>
        </w:rPr>
      </w:pPr>
      <w:r w:rsidRPr="008D168F">
        <w:rPr>
          <w:rFonts w:ascii="Times New Roman" w:hAnsi="Times New Roman"/>
          <w:b/>
          <w:bCs/>
          <w:sz w:val="23"/>
          <w:szCs w:val="23"/>
          <w:lang w:val="en-US"/>
        </w:rPr>
        <w:t xml:space="preserve">LUIS ALMAGRO </w:t>
      </w:r>
    </w:p>
    <w:p w14:paraId="7F523358" w14:textId="77777777" w:rsidR="00243313" w:rsidRPr="008D168F" w:rsidRDefault="00243313" w:rsidP="00243313">
      <w:pPr>
        <w:rPr>
          <w:rFonts w:ascii="Times New Roman" w:hAnsi="Times New Roman"/>
          <w:sz w:val="23"/>
          <w:szCs w:val="23"/>
          <w:lang w:val="en-US"/>
        </w:rPr>
      </w:pPr>
      <w:r w:rsidRPr="008D168F">
        <w:rPr>
          <w:rFonts w:ascii="Times New Roman" w:hAnsi="Times New Roman"/>
          <w:sz w:val="23"/>
          <w:szCs w:val="23"/>
          <w:lang w:val="en-US"/>
        </w:rPr>
        <w:t xml:space="preserve">Secretary General </w:t>
      </w:r>
    </w:p>
    <w:p w14:paraId="0F88AEDB" w14:textId="77777777" w:rsidR="00243313" w:rsidRPr="008D168F" w:rsidRDefault="00243313" w:rsidP="00243313">
      <w:pPr>
        <w:rPr>
          <w:rFonts w:ascii="Times New Roman" w:hAnsi="Times New Roman"/>
          <w:sz w:val="23"/>
          <w:szCs w:val="23"/>
          <w:lang w:val="en-US"/>
        </w:rPr>
      </w:pPr>
      <w:r w:rsidRPr="008D168F">
        <w:rPr>
          <w:rFonts w:ascii="Times New Roman" w:hAnsi="Times New Roman"/>
          <w:sz w:val="23"/>
          <w:szCs w:val="23"/>
          <w:lang w:val="en-US"/>
        </w:rPr>
        <w:t xml:space="preserve">Organization of American States </w:t>
      </w:r>
    </w:p>
    <w:p w14:paraId="09A8D304" w14:textId="77777777" w:rsidR="00243313" w:rsidRPr="008D168F" w:rsidRDefault="00243313" w:rsidP="00243313">
      <w:pPr>
        <w:rPr>
          <w:rFonts w:ascii="Times New Roman" w:hAnsi="Times New Roman"/>
          <w:sz w:val="23"/>
          <w:szCs w:val="23"/>
          <w:lang w:val="en-US"/>
        </w:rPr>
      </w:pPr>
    </w:p>
    <w:p w14:paraId="2CB3F08F" w14:textId="77777777" w:rsidR="00243313" w:rsidRPr="008D168F" w:rsidRDefault="00243313" w:rsidP="00243313">
      <w:pPr>
        <w:rPr>
          <w:rFonts w:ascii="Times New Roman" w:hAnsi="Times New Roman"/>
          <w:b/>
          <w:bCs/>
          <w:sz w:val="23"/>
          <w:szCs w:val="23"/>
          <w:lang w:val="en-US"/>
        </w:rPr>
      </w:pPr>
      <w:r w:rsidRPr="008D168F">
        <w:rPr>
          <w:rFonts w:ascii="Times New Roman" w:hAnsi="Times New Roman"/>
          <w:b/>
          <w:bCs/>
          <w:sz w:val="23"/>
          <w:szCs w:val="23"/>
          <w:lang w:val="en-US"/>
        </w:rPr>
        <w:t xml:space="preserve">MICHELE BACHELET </w:t>
      </w:r>
    </w:p>
    <w:p w14:paraId="0E2068F5" w14:textId="77777777" w:rsidR="00243313" w:rsidRPr="008D168F" w:rsidRDefault="00243313" w:rsidP="00243313">
      <w:pPr>
        <w:rPr>
          <w:rFonts w:ascii="Times New Roman" w:hAnsi="Times New Roman"/>
          <w:sz w:val="23"/>
          <w:szCs w:val="23"/>
          <w:lang w:val="en-US"/>
        </w:rPr>
      </w:pPr>
      <w:r w:rsidRPr="008D168F">
        <w:rPr>
          <w:rFonts w:ascii="Times New Roman" w:hAnsi="Times New Roman"/>
          <w:sz w:val="23"/>
          <w:szCs w:val="23"/>
          <w:lang w:val="en-US"/>
        </w:rPr>
        <w:t xml:space="preserve">United Nations High Commissioner for Human Rights </w:t>
      </w:r>
    </w:p>
    <w:p w14:paraId="0C672BAA" w14:textId="77777777" w:rsidR="00243313" w:rsidRPr="008D168F" w:rsidRDefault="00243313" w:rsidP="00243313">
      <w:pPr>
        <w:rPr>
          <w:rFonts w:ascii="Times New Roman" w:hAnsi="Times New Roman"/>
          <w:sz w:val="23"/>
          <w:szCs w:val="23"/>
          <w:lang w:val="en-US"/>
        </w:rPr>
      </w:pPr>
      <w:r w:rsidRPr="008D168F">
        <w:rPr>
          <w:rFonts w:ascii="Times New Roman" w:hAnsi="Times New Roman"/>
          <w:sz w:val="23"/>
          <w:szCs w:val="23"/>
          <w:lang w:val="en-US"/>
        </w:rPr>
        <w:t>United Nations</w:t>
      </w:r>
    </w:p>
    <w:p w14:paraId="6D02D61F" w14:textId="77777777" w:rsidR="00243313" w:rsidRPr="008D168F" w:rsidRDefault="00243313" w:rsidP="00243313">
      <w:pPr>
        <w:rPr>
          <w:rFonts w:ascii="Times New Roman" w:hAnsi="Times New Roman"/>
          <w:sz w:val="23"/>
          <w:szCs w:val="23"/>
          <w:lang w:val="en-US"/>
        </w:rPr>
      </w:pPr>
    </w:p>
    <w:p w14:paraId="20DD5A66" w14:textId="77777777" w:rsidR="00243313" w:rsidRPr="008D168F" w:rsidRDefault="00243313" w:rsidP="00243313">
      <w:pPr>
        <w:rPr>
          <w:rFonts w:ascii="Times New Roman" w:hAnsi="Times New Roman"/>
          <w:b/>
          <w:bCs/>
          <w:sz w:val="23"/>
          <w:szCs w:val="23"/>
          <w:lang w:val="en-US"/>
        </w:rPr>
      </w:pPr>
      <w:r w:rsidRPr="008D168F">
        <w:rPr>
          <w:rFonts w:ascii="Times New Roman" w:hAnsi="Times New Roman"/>
          <w:b/>
          <w:bCs/>
          <w:sz w:val="23"/>
          <w:szCs w:val="23"/>
          <w:lang w:val="en-US"/>
        </w:rPr>
        <w:lastRenderedPageBreak/>
        <w:t>CARLOS RUIZ MASSIEU</w:t>
      </w:r>
    </w:p>
    <w:p w14:paraId="66E1CDB3" w14:textId="77777777" w:rsidR="00243313" w:rsidRPr="008D168F" w:rsidRDefault="00243313" w:rsidP="00243313">
      <w:pPr>
        <w:rPr>
          <w:rFonts w:ascii="Times New Roman" w:hAnsi="Times New Roman"/>
          <w:sz w:val="23"/>
          <w:szCs w:val="23"/>
          <w:lang w:val="en-US"/>
        </w:rPr>
      </w:pPr>
      <w:r w:rsidRPr="008D168F">
        <w:rPr>
          <w:rFonts w:ascii="Times New Roman" w:hAnsi="Times New Roman"/>
          <w:sz w:val="23"/>
          <w:szCs w:val="23"/>
          <w:lang w:val="en-US"/>
        </w:rPr>
        <w:t xml:space="preserve">Special Representative of the Secretary General </w:t>
      </w:r>
    </w:p>
    <w:p w14:paraId="63A5000C" w14:textId="15598BE2" w:rsidR="000C1A41" w:rsidRPr="008D168F" w:rsidRDefault="00243313" w:rsidP="00931049">
      <w:pPr>
        <w:rPr>
          <w:rFonts w:ascii="Times New Roman" w:hAnsi="Times New Roman" w:cs="Times New Roman"/>
          <w:sz w:val="23"/>
          <w:szCs w:val="23"/>
          <w:lang w:val="en-US"/>
        </w:rPr>
      </w:pPr>
      <w:r w:rsidRPr="008D168F">
        <w:rPr>
          <w:rFonts w:ascii="Times New Roman" w:hAnsi="Times New Roman"/>
          <w:sz w:val="23"/>
          <w:szCs w:val="23"/>
          <w:lang w:val="en-US"/>
        </w:rPr>
        <w:t>Mission of the United Nations to Colombia</w:t>
      </w:r>
    </w:p>
    <w:sectPr w:rsidR="000C1A41" w:rsidRPr="008D16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0E73D" w14:textId="77777777" w:rsidR="001F603D" w:rsidRDefault="001F603D" w:rsidP="002643C8">
      <w:r>
        <w:separator/>
      </w:r>
    </w:p>
  </w:endnote>
  <w:endnote w:type="continuationSeparator" w:id="0">
    <w:p w14:paraId="08F5A74D" w14:textId="77777777" w:rsidR="001F603D" w:rsidRDefault="001F603D" w:rsidP="0026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A1FA0" w14:textId="77777777" w:rsidR="001F603D" w:rsidRDefault="001F603D" w:rsidP="002643C8">
      <w:r>
        <w:separator/>
      </w:r>
    </w:p>
  </w:footnote>
  <w:footnote w:type="continuationSeparator" w:id="0">
    <w:p w14:paraId="58F552E2" w14:textId="77777777" w:rsidR="001F603D" w:rsidRDefault="001F603D" w:rsidP="002643C8">
      <w:r>
        <w:continuationSeparator/>
      </w:r>
    </w:p>
  </w:footnote>
  <w:footnote w:id="1">
    <w:p w14:paraId="447F8FB5" w14:textId="5ADCE61E" w:rsidR="00417579" w:rsidRPr="00B60819" w:rsidRDefault="00417579" w:rsidP="00417579">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64F04" w:rsidRPr="00B60819">
        <w:rPr>
          <w:rFonts w:ascii="Garamond" w:hAnsi="Garamond"/>
          <w:sz w:val="18"/>
          <w:szCs w:val="18"/>
          <w:lang w:val="en-US"/>
        </w:rPr>
        <w:t>Paragraph</w:t>
      </w:r>
      <w:r w:rsidRPr="00B60819">
        <w:rPr>
          <w:rFonts w:ascii="Garamond" w:hAnsi="Garamond"/>
          <w:sz w:val="18"/>
          <w:szCs w:val="18"/>
          <w:lang w:val="en-US"/>
        </w:rPr>
        <w:t xml:space="preserve"> 14, “</w:t>
      </w:r>
      <w:r w:rsidR="000611B3" w:rsidRPr="00B60819">
        <w:rPr>
          <w:rFonts w:ascii="Garamond" w:hAnsi="Garamond"/>
          <w:i/>
          <w:iCs/>
          <w:sz w:val="18"/>
          <w:szCs w:val="18"/>
          <w:lang w:val="en-US"/>
        </w:rPr>
        <w:t>Strikes and Human Rights. Standards on the rights involved in social protest and the obligations that should guide the state response</w:t>
      </w:r>
      <w:r w:rsidRPr="00B60819">
        <w:rPr>
          <w:rFonts w:ascii="Garamond" w:hAnsi="Garamond"/>
          <w:sz w:val="18"/>
          <w:szCs w:val="18"/>
          <w:lang w:val="en-US"/>
        </w:rPr>
        <w:t>”</w:t>
      </w:r>
    </w:p>
  </w:footnote>
  <w:footnote w:id="2">
    <w:p w14:paraId="2930C6D3" w14:textId="053153C7" w:rsidR="00417579" w:rsidRPr="00B60819" w:rsidRDefault="00417579" w:rsidP="00417579">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64F04" w:rsidRPr="00B60819">
        <w:rPr>
          <w:rFonts w:ascii="Garamond" w:hAnsi="Garamond"/>
          <w:sz w:val="18"/>
          <w:szCs w:val="18"/>
          <w:lang w:val="en-US"/>
        </w:rPr>
        <w:t xml:space="preserve">Paragraph </w:t>
      </w:r>
      <w:r w:rsidRPr="00B60819">
        <w:rPr>
          <w:rFonts w:ascii="Garamond" w:hAnsi="Garamond"/>
          <w:sz w:val="18"/>
          <w:szCs w:val="18"/>
          <w:lang w:val="en-US"/>
        </w:rPr>
        <w:t>5, “</w:t>
      </w:r>
      <w:r w:rsidR="000611B3" w:rsidRPr="00B60819">
        <w:rPr>
          <w:rFonts w:ascii="Garamond" w:hAnsi="Garamond"/>
          <w:i/>
          <w:iCs/>
          <w:sz w:val="18"/>
          <w:szCs w:val="18"/>
          <w:lang w:val="en-US"/>
        </w:rPr>
        <w:t>Strikes and Human Rights. Standards on the rights involved in social protest and the obligations that should guide the state response</w:t>
      </w:r>
      <w:r w:rsidRPr="00B60819">
        <w:rPr>
          <w:rFonts w:ascii="Garamond" w:hAnsi="Garamond"/>
          <w:sz w:val="18"/>
          <w:szCs w:val="18"/>
          <w:lang w:val="en-US"/>
        </w:rPr>
        <w:t>”</w:t>
      </w:r>
    </w:p>
  </w:footnote>
  <w:footnote w:id="3">
    <w:p w14:paraId="68AD589C" w14:textId="192580DD" w:rsidR="003D7789" w:rsidRPr="00B60819" w:rsidRDefault="003D7789" w:rsidP="003D7789">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64F04" w:rsidRPr="00B60819">
        <w:rPr>
          <w:rFonts w:ascii="Garamond" w:hAnsi="Garamond"/>
          <w:sz w:val="18"/>
          <w:szCs w:val="18"/>
          <w:lang w:val="en-US"/>
        </w:rPr>
        <w:t>Article</w:t>
      </w:r>
      <w:r w:rsidRPr="00B60819">
        <w:rPr>
          <w:rFonts w:ascii="Garamond" w:hAnsi="Garamond"/>
          <w:sz w:val="18"/>
          <w:szCs w:val="18"/>
          <w:lang w:val="en-US"/>
        </w:rPr>
        <w:t xml:space="preserve"> 37, </w:t>
      </w:r>
      <w:r w:rsidR="00C9556E" w:rsidRPr="00B60819">
        <w:rPr>
          <w:rFonts w:ascii="Garamond" w:hAnsi="Garamond"/>
          <w:sz w:val="18"/>
          <w:szCs w:val="18"/>
          <w:lang w:val="en-US"/>
        </w:rPr>
        <w:t>Political Constitution of Colombia</w:t>
      </w:r>
    </w:p>
  </w:footnote>
  <w:footnote w:id="4">
    <w:p w14:paraId="4ED3B04A" w14:textId="52300CA5" w:rsidR="00B61B0F" w:rsidRPr="00B60819" w:rsidRDefault="00B61B0F" w:rsidP="00B61B0F">
      <w:pPr>
        <w:jc w:val="both"/>
        <w:rPr>
          <w:rFonts w:ascii="Garamond" w:hAnsi="Garamond" w:cs="Times New Roman"/>
          <w:sz w:val="18"/>
          <w:szCs w:val="18"/>
          <w:lang w:val="en-US"/>
        </w:rPr>
      </w:pPr>
      <w:r w:rsidRPr="00B60819">
        <w:rPr>
          <w:rStyle w:val="Refdenotaalpie"/>
          <w:rFonts w:ascii="Garamond" w:hAnsi="Garamond" w:cs="Times New Roman"/>
          <w:sz w:val="18"/>
          <w:szCs w:val="18"/>
          <w:lang w:val="en-US"/>
        </w:rPr>
        <w:footnoteRef/>
      </w:r>
      <w:r w:rsidRPr="00B60819">
        <w:rPr>
          <w:rFonts w:ascii="Garamond" w:hAnsi="Garamond" w:cs="Times New Roman"/>
          <w:sz w:val="18"/>
          <w:szCs w:val="18"/>
          <w:lang w:val="en-US"/>
        </w:rPr>
        <w:t xml:space="preserve"> </w:t>
      </w:r>
      <w:r w:rsidR="00864F04" w:rsidRPr="00B60819">
        <w:rPr>
          <w:rFonts w:ascii="Garamond" w:hAnsi="Garamond"/>
          <w:sz w:val="18"/>
          <w:szCs w:val="18"/>
          <w:lang w:val="en-US"/>
        </w:rPr>
        <w:t xml:space="preserve">Article </w:t>
      </w:r>
      <w:r w:rsidRPr="00B60819">
        <w:rPr>
          <w:rFonts w:ascii="Garamond" w:hAnsi="Garamond" w:cs="Times New Roman"/>
          <w:sz w:val="18"/>
          <w:szCs w:val="18"/>
          <w:lang w:val="en-US"/>
        </w:rPr>
        <w:t>13,</w:t>
      </w:r>
      <w:r w:rsidR="00F760C8" w:rsidRPr="00B60819">
        <w:rPr>
          <w:rFonts w:ascii="Garamond" w:hAnsi="Garamond" w:cs="Times New Roman"/>
          <w:sz w:val="18"/>
          <w:szCs w:val="18"/>
          <w:lang w:val="en-US"/>
        </w:rPr>
        <w:t xml:space="preserve"> American Convention on Human Rights; IACHR, Annual Report 2005, Volume III, Report of the Office of the Special Rapporteur for Freedom of Expression, February 27, 2006, OAS / Ser.L / V / II.124 Doc. 7, Chapter V, “Public Protests as an Exercise of Freedom of Expression and Freedom of Assembly</w:t>
      </w:r>
      <w:r w:rsidR="0012275B" w:rsidRPr="00B60819">
        <w:rPr>
          <w:rFonts w:ascii="Garamond" w:hAnsi="Garamond" w:cs="Times New Roman"/>
          <w:sz w:val="18"/>
          <w:szCs w:val="18"/>
          <w:lang w:val="en-US"/>
        </w:rPr>
        <w:t>”</w:t>
      </w:r>
    </w:p>
  </w:footnote>
  <w:footnote w:id="5">
    <w:p w14:paraId="33811E32" w14:textId="0DB2A01A" w:rsidR="0012275B" w:rsidRPr="00B60819" w:rsidRDefault="00B61B0F" w:rsidP="00B61B0F">
      <w:pPr>
        <w:jc w:val="both"/>
        <w:rPr>
          <w:rFonts w:ascii="Garamond" w:eastAsia="Times New Roman" w:hAnsi="Garamond" w:cs="Times New Roman"/>
          <w:sz w:val="18"/>
          <w:szCs w:val="18"/>
          <w:lang w:val="en-US"/>
        </w:rPr>
      </w:pPr>
      <w:r w:rsidRPr="00B60819">
        <w:rPr>
          <w:rStyle w:val="Refdenotaalpie"/>
          <w:rFonts w:ascii="Garamond" w:hAnsi="Garamond" w:cs="Times New Roman"/>
          <w:sz w:val="18"/>
          <w:szCs w:val="18"/>
          <w:lang w:val="en-US"/>
        </w:rPr>
        <w:footnoteRef/>
      </w:r>
      <w:r w:rsidRPr="00B60819">
        <w:rPr>
          <w:rFonts w:ascii="Garamond" w:hAnsi="Garamond" w:cs="Times New Roman"/>
          <w:sz w:val="18"/>
          <w:szCs w:val="18"/>
          <w:lang w:val="en-US"/>
        </w:rPr>
        <w:t xml:space="preserve"> </w:t>
      </w:r>
      <w:r w:rsidR="00864F04" w:rsidRPr="00B60819">
        <w:rPr>
          <w:rFonts w:ascii="Garamond" w:hAnsi="Garamond"/>
          <w:sz w:val="18"/>
          <w:szCs w:val="18"/>
          <w:lang w:val="en-US"/>
        </w:rPr>
        <w:t xml:space="preserve">Article </w:t>
      </w:r>
      <w:r w:rsidRPr="00B60819">
        <w:rPr>
          <w:rFonts w:ascii="Garamond" w:hAnsi="Garamond" w:cs="Times New Roman"/>
          <w:sz w:val="18"/>
          <w:szCs w:val="18"/>
          <w:lang w:val="en-US"/>
        </w:rPr>
        <w:t xml:space="preserve">15, </w:t>
      </w:r>
      <w:r w:rsidR="0012275B" w:rsidRPr="00B60819">
        <w:rPr>
          <w:rFonts w:ascii="Garamond" w:eastAsia="Times New Roman" w:hAnsi="Garamond" w:cs="Times New Roman"/>
          <w:sz w:val="18"/>
          <w:szCs w:val="18"/>
          <w:lang w:val="en-US"/>
        </w:rPr>
        <w:t>ACHR</w:t>
      </w:r>
      <w:r w:rsidRPr="00B60819">
        <w:rPr>
          <w:rFonts w:ascii="Garamond" w:hAnsi="Garamond" w:cs="Times New Roman"/>
          <w:sz w:val="18"/>
          <w:szCs w:val="18"/>
          <w:lang w:val="en-US"/>
        </w:rPr>
        <w:t>: “</w:t>
      </w:r>
      <w:r w:rsidR="0012275B" w:rsidRPr="00B60819">
        <w:rPr>
          <w:rFonts w:ascii="Garamond" w:hAnsi="Garamond"/>
          <w:i/>
          <w:iCs/>
          <w:sz w:val="18"/>
          <w:szCs w:val="18"/>
          <w:lang w:val="en-US"/>
        </w:rPr>
        <w:t>The right of peaceful assembly without weapons is recognized. The exercise of this right may only be subject to the restrictions provided by law, which are necessary in a democratic society, in the interest of national security, public security or order, or to protect public health or morals or the rights or freedoms of others</w:t>
      </w:r>
      <w:r w:rsidRPr="00B60819">
        <w:rPr>
          <w:rFonts w:ascii="Garamond" w:eastAsia="Times New Roman" w:hAnsi="Garamond" w:cs="Times New Roman"/>
          <w:color w:val="000000"/>
          <w:sz w:val="18"/>
          <w:szCs w:val="18"/>
          <w:lang w:val="en-US"/>
        </w:rPr>
        <w:t xml:space="preserve">.”; </w:t>
      </w:r>
      <w:r w:rsidR="0012275B" w:rsidRPr="00B60819">
        <w:rPr>
          <w:rFonts w:ascii="Garamond" w:eastAsia="Times New Roman" w:hAnsi="Garamond" w:cs="Times New Roman"/>
          <w:sz w:val="18"/>
          <w:szCs w:val="18"/>
          <w:lang w:val="en-US"/>
        </w:rPr>
        <w:t xml:space="preserve">Second Report on the Situation of Human Rights Defenders in the Americas, December 31, 2011, OAS / </w:t>
      </w:r>
      <w:r w:rsidRPr="00B60819">
        <w:rPr>
          <w:rFonts w:ascii="Garamond" w:eastAsia="Times New Roman" w:hAnsi="Garamond" w:cs="Times New Roman"/>
          <w:sz w:val="18"/>
          <w:szCs w:val="18"/>
          <w:lang w:val="en-US"/>
        </w:rPr>
        <w:t xml:space="preserve">Ser.L/V/II. Doc. 66, </w:t>
      </w:r>
      <w:r w:rsidR="0012275B" w:rsidRPr="00B60819">
        <w:rPr>
          <w:rFonts w:ascii="Garamond" w:eastAsia="Times New Roman" w:hAnsi="Garamond" w:cs="Times New Roman"/>
          <w:sz w:val="18"/>
          <w:szCs w:val="18"/>
          <w:lang w:val="en-US"/>
        </w:rPr>
        <w:t>para. 128 and 129</w:t>
      </w:r>
      <w:r w:rsidRPr="00B60819">
        <w:rPr>
          <w:rFonts w:ascii="Garamond" w:eastAsia="Times New Roman" w:hAnsi="Garamond" w:cs="Times New Roman"/>
          <w:sz w:val="18"/>
          <w:szCs w:val="18"/>
          <w:lang w:val="en-US"/>
        </w:rPr>
        <w:t>.</w:t>
      </w:r>
    </w:p>
  </w:footnote>
  <w:footnote w:id="6">
    <w:p w14:paraId="19D609CA" w14:textId="0FAD2662" w:rsidR="00E43EC9" w:rsidRPr="00B60819" w:rsidRDefault="00E43EC9" w:rsidP="00E43EC9">
      <w:pPr>
        <w:jc w:val="both"/>
        <w:rPr>
          <w:rFonts w:ascii="Garamond" w:eastAsia="Times New Roman" w:hAnsi="Garamond" w:cs="Times New Roman"/>
          <w:sz w:val="18"/>
          <w:szCs w:val="18"/>
          <w:lang w:val="en-US"/>
        </w:rPr>
      </w:pPr>
      <w:r w:rsidRPr="00B60819">
        <w:rPr>
          <w:rStyle w:val="Refdenotaalpie"/>
          <w:rFonts w:ascii="Garamond" w:hAnsi="Garamond" w:cs="Times New Roman"/>
          <w:sz w:val="18"/>
          <w:szCs w:val="18"/>
          <w:lang w:val="en-US"/>
        </w:rPr>
        <w:footnoteRef/>
      </w:r>
      <w:r w:rsidRPr="00B60819">
        <w:rPr>
          <w:rFonts w:ascii="Garamond" w:hAnsi="Garamond" w:cs="Times New Roman"/>
          <w:sz w:val="18"/>
          <w:szCs w:val="18"/>
          <w:lang w:val="en-US"/>
        </w:rPr>
        <w:t xml:space="preserve"> </w:t>
      </w:r>
      <w:r w:rsidR="00864F04" w:rsidRPr="00B60819">
        <w:rPr>
          <w:rFonts w:ascii="Garamond" w:hAnsi="Garamond"/>
          <w:sz w:val="18"/>
          <w:szCs w:val="18"/>
          <w:lang w:val="en-US"/>
        </w:rPr>
        <w:t xml:space="preserve">Article </w:t>
      </w:r>
      <w:r w:rsidRPr="00B60819">
        <w:rPr>
          <w:rFonts w:ascii="Garamond" w:hAnsi="Garamond" w:cs="Times New Roman"/>
          <w:sz w:val="18"/>
          <w:szCs w:val="18"/>
          <w:lang w:val="en-US"/>
        </w:rPr>
        <w:t xml:space="preserve">16, </w:t>
      </w:r>
      <w:r w:rsidR="00113884" w:rsidRPr="00B60819">
        <w:rPr>
          <w:rFonts w:ascii="Garamond" w:hAnsi="Garamond" w:cs="Times New Roman"/>
          <w:sz w:val="18"/>
          <w:szCs w:val="18"/>
          <w:lang w:val="en-US"/>
        </w:rPr>
        <w:t>ACHR</w:t>
      </w:r>
      <w:r w:rsidRPr="00B60819">
        <w:rPr>
          <w:rFonts w:ascii="Garamond" w:hAnsi="Garamond" w:cs="Times New Roman"/>
          <w:sz w:val="18"/>
          <w:szCs w:val="18"/>
          <w:lang w:val="en-US"/>
        </w:rPr>
        <w:t xml:space="preserve">; </w:t>
      </w:r>
      <w:r w:rsidR="00113884" w:rsidRPr="00B60819">
        <w:rPr>
          <w:rFonts w:ascii="Garamond" w:hAnsi="Garamond" w:cs="Times New Roman"/>
          <w:sz w:val="18"/>
          <w:szCs w:val="18"/>
          <w:lang w:val="en-US"/>
        </w:rPr>
        <w:t>Inter-American Court</w:t>
      </w:r>
      <w:r w:rsidRPr="00B60819">
        <w:rPr>
          <w:rFonts w:ascii="Garamond" w:hAnsi="Garamond" w:cs="Times New Roman"/>
          <w:sz w:val="18"/>
          <w:szCs w:val="18"/>
          <w:lang w:val="en-US"/>
        </w:rPr>
        <w:t xml:space="preserve">, </w:t>
      </w:r>
      <w:r w:rsidR="00113884" w:rsidRPr="00B60819">
        <w:rPr>
          <w:rFonts w:ascii="Garamond" w:eastAsia="Times New Roman" w:hAnsi="Garamond" w:cs="Times New Roman"/>
          <w:sz w:val="18"/>
          <w:szCs w:val="18"/>
          <w:lang w:val="en-US"/>
        </w:rPr>
        <w:t>Case of Kawas Fernández v. Honduras. Merits, Reparations and Costs. Judgment of April 3, 2009 Series C No. 196, para. 143</w:t>
      </w:r>
      <w:r w:rsidRPr="00B60819">
        <w:rPr>
          <w:rFonts w:ascii="Garamond" w:eastAsia="Times New Roman" w:hAnsi="Garamond" w:cs="Times New Roman"/>
          <w:sz w:val="18"/>
          <w:szCs w:val="18"/>
          <w:lang w:val="en-US"/>
        </w:rPr>
        <w:t xml:space="preserve">; </w:t>
      </w:r>
      <w:r w:rsidR="00113884" w:rsidRPr="00B60819">
        <w:rPr>
          <w:rFonts w:ascii="Garamond" w:eastAsia="Times New Roman" w:hAnsi="Garamond" w:cs="Times New Roman"/>
          <w:sz w:val="18"/>
          <w:szCs w:val="18"/>
          <w:lang w:val="en-US"/>
        </w:rPr>
        <w:t>Case of Escher and Others v. Brazil, Preliminary Objections, Merits, Reparations and Costs. Judgment of July 6, 2009, para. 169</w:t>
      </w:r>
      <w:r w:rsidRPr="00B60819">
        <w:rPr>
          <w:rFonts w:ascii="Garamond" w:eastAsia="Times New Roman" w:hAnsi="Garamond" w:cs="Times New Roman"/>
          <w:sz w:val="18"/>
          <w:szCs w:val="18"/>
          <w:lang w:val="en-US"/>
        </w:rPr>
        <w:t>.</w:t>
      </w:r>
    </w:p>
  </w:footnote>
  <w:footnote w:id="7">
    <w:p w14:paraId="1DF4078D" w14:textId="186400A0" w:rsidR="00E43EC9" w:rsidRPr="00B60819" w:rsidRDefault="00E43EC9" w:rsidP="00E43EC9">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64F04" w:rsidRPr="00B60819">
        <w:rPr>
          <w:rFonts w:ascii="Garamond" w:hAnsi="Garamond"/>
          <w:sz w:val="18"/>
          <w:szCs w:val="18"/>
          <w:lang w:val="en-US"/>
        </w:rPr>
        <w:t xml:space="preserve">Article </w:t>
      </w:r>
      <w:r w:rsidRPr="00B60819">
        <w:rPr>
          <w:rFonts w:ascii="Garamond" w:hAnsi="Garamond"/>
          <w:sz w:val="18"/>
          <w:szCs w:val="18"/>
          <w:lang w:val="en-US"/>
        </w:rPr>
        <w:t xml:space="preserve">23, </w:t>
      </w:r>
      <w:r w:rsidR="00864F04" w:rsidRPr="00B60819">
        <w:rPr>
          <w:rFonts w:ascii="Garamond" w:hAnsi="Garamond"/>
          <w:sz w:val="18"/>
          <w:szCs w:val="18"/>
          <w:lang w:val="en-US"/>
        </w:rPr>
        <w:t>American Convention on Human Rights</w:t>
      </w:r>
      <w:r w:rsidRPr="00B60819">
        <w:rPr>
          <w:rFonts w:ascii="Garamond" w:hAnsi="Garamond"/>
          <w:sz w:val="18"/>
          <w:szCs w:val="18"/>
          <w:lang w:val="en-US"/>
        </w:rPr>
        <w:t>.</w:t>
      </w:r>
    </w:p>
  </w:footnote>
  <w:footnote w:id="8">
    <w:p w14:paraId="3D0BC7AD" w14:textId="6C9D94B4" w:rsidR="00C84E48" w:rsidRPr="00B60819" w:rsidRDefault="00C84E48" w:rsidP="00C84E48">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64F04" w:rsidRPr="00B60819">
        <w:rPr>
          <w:rFonts w:ascii="Garamond" w:hAnsi="Garamond"/>
          <w:sz w:val="18"/>
          <w:szCs w:val="18"/>
          <w:lang w:val="en-US"/>
        </w:rPr>
        <w:t xml:space="preserve">Article </w:t>
      </w:r>
      <w:r w:rsidRPr="00B60819">
        <w:rPr>
          <w:rFonts w:ascii="Garamond" w:hAnsi="Garamond"/>
          <w:sz w:val="18"/>
          <w:szCs w:val="18"/>
          <w:lang w:val="en-US"/>
        </w:rPr>
        <w:t xml:space="preserve">19, </w:t>
      </w:r>
      <w:r w:rsidR="00864F04" w:rsidRPr="00B60819">
        <w:rPr>
          <w:rFonts w:ascii="Garamond" w:hAnsi="Garamond"/>
          <w:sz w:val="18"/>
          <w:szCs w:val="18"/>
          <w:lang w:val="en-US"/>
        </w:rPr>
        <w:t>International Covenant on Civil and Political Rights</w:t>
      </w:r>
      <w:r w:rsidRPr="00B60819">
        <w:rPr>
          <w:rFonts w:ascii="Garamond" w:hAnsi="Garamond"/>
          <w:sz w:val="18"/>
          <w:szCs w:val="18"/>
          <w:lang w:val="en-US"/>
        </w:rPr>
        <w:t>.</w:t>
      </w:r>
    </w:p>
  </w:footnote>
  <w:footnote w:id="9">
    <w:p w14:paraId="03FB8527" w14:textId="106CD809" w:rsidR="00C84E48" w:rsidRPr="00B60819" w:rsidRDefault="00C84E48" w:rsidP="00C84E48">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64F04" w:rsidRPr="00B60819">
        <w:rPr>
          <w:rFonts w:ascii="Garamond" w:hAnsi="Garamond"/>
          <w:sz w:val="18"/>
          <w:szCs w:val="18"/>
          <w:lang w:val="en-US"/>
        </w:rPr>
        <w:t xml:space="preserve">Article </w:t>
      </w:r>
      <w:r w:rsidRPr="00B60819">
        <w:rPr>
          <w:rFonts w:ascii="Garamond" w:hAnsi="Garamond"/>
          <w:sz w:val="18"/>
          <w:szCs w:val="18"/>
          <w:lang w:val="en-US"/>
        </w:rPr>
        <w:t xml:space="preserve">21, </w:t>
      </w:r>
      <w:r w:rsidR="00864F04" w:rsidRPr="00B60819">
        <w:rPr>
          <w:rFonts w:ascii="Garamond" w:hAnsi="Garamond"/>
          <w:sz w:val="18"/>
          <w:szCs w:val="18"/>
          <w:lang w:val="en-US"/>
        </w:rPr>
        <w:t>International Covenant on Civil and Political Rights</w:t>
      </w:r>
      <w:r w:rsidRPr="00B60819">
        <w:rPr>
          <w:rFonts w:ascii="Garamond" w:hAnsi="Garamond"/>
          <w:sz w:val="18"/>
          <w:szCs w:val="18"/>
          <w:lang w:val="en-US"/>
        </w:rPr>
        <w:t>.</w:t>
      </w:r>
    </w:p>
  </w:footnote>
  <w:footnote w:id="10">
    <w:p w14:paraId="5747C0F4" w14:textId="4A09A98A" w:rsidR="002643C8" w:rsidRPr="00B60819" w:rsidRDefault="002643C8" w:rsidP="001B4202">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64F04" w:rsidRPr="00B60819">
        <w:rPr>
          <w:rFonts w:ascii="Garamond" w:hAnsi="Garamond"/>
          <w:sz w:val="18"/>
          <w:szCs w:val="18"/>
          <w:lang w:val="en-US"/>
        </w:rPr>
        <w:t xml:space="preserve">Article </w:t>
      </w:r>
      <w:r w:rsidRPr="00B60819">
        <w:rPr>
          <w:rFonts w:ascii="Garamond" w:hAnsi="Garamond"/>
          <w:sz w:val="18"/>
          <w:szCs w:val="18"/>
          <w:lang w:val="en-US"/>
        </w:rPr>
        <w:t xml:space="preserve">22, </w:t>
      </w:r>
      <w:r w:rsidR="00864F04" w:rsidRPr="00B60819">
        <w:rPr>
          <w:rFonts w:ascii="Garamond" w:hAnsi="Garamond"/>
          <w:sz w:val="18"/>
          <w:szCs w:val="18"/>
          <w:lang w:val="en-US"/>
        </w:rPr>
        <w:t>International Covenant on Civil and Political Rights</w:t>
      </w:r>
      <w:r w:rsidR="00C7254E" w:rsidRPr="00B60819">
        <w:rPr>
          <w:rFonts w:ascii="Garamond" w:hAnsi="Garamond"/>
          <w:sz w:val="18"/>
          <w:szCs w:val="18"/>
          <w:lang w:val="en-US"/>
        </w:rPr>
        <w:t>.</w:t>
      </w:r>
    </w:p>
  </w:footnote>
  <w:footnote w:id="11">
    <w:p w14:paraId="05787F51" w14:textId="60FF9256" w:rsidR="00BB19BE" w:rsidRPr="00B60819" w:rsidRDefault="00BB19BE" w:rsidP="00BB19BE">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E71C59" w:rsidRPr="00B60819">
        <w:rPr>
          <w:rFonts w:ascii="Garamond" w:hAnsi="Garamond"/>
          <w:sz w:val="18"/>
          <w:szCs w:val="18"/>
          <w:lang w:val="en-US"/>
        </w:rPr>
        <w:t xml:space="preserve">Article </w:t>
      </w:r>
      <w:r w:rsidRPr="00B60819">
        <w:rPr>
          <w:rFonts w:ascii="Garamond" w:hAnsi="Garamond"/>
          <w:sz w:val="18"/>
          <w:szCs w:val="18"/>
          <w:lang w:val="en-US"/>
        </w:rPr>
        <w:t xml:space="preserve">21, </w:t>
      </w:r>
      <w:r w:rsidR="00E71C59" w:rsidRPr="00B60819">
        <w:rPr>
          <w:rFonts w:ascii="Garamond" w:hAnsi="Garamond"/>
          <w:sz w:val="18"/>
          <w:szCs w:val="18"/>
          <w:lang w:val="en-US"/>
        </w:rPr>
        <w:t>International Covenant on Civil and Political Rights; Paragraph 29, “Joint Report of the Special Rapporteur on the rights to freedom of peaceful assembly and association and the Special Rapporteur on extrajudicial, summary or arbitrary executions regarding the proper management of strikes.” February 4, 2016</w:t>
      </w:r>
      <w:r w:rsidRPr="00B60819">
        <w:rPr>
          <w:rFonts w:ascii="Garamond" w:hAnsi="Garamond"/>
          <w:sz w:val="18"/>
          <w:szCs w:val="18"/>
          <w:lang w:val="en-US"/>
        </w:rPr>
        <w:t>.</w:t>
      </w:r>
    </w:p>
  </w:footnote>
  <w:footnote w:id="12">
    <w:p w14:paraId="06045EF3" w14:textId="649945A5" w:rsidR="005B6572" w:rsidRPr="00B60819" w:rsidRDefault="005B6572" w:rsidP="005B6572">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E71C59" w:rsidRPr="00B60819">
        <w:rPr>
          <w:rFonts w:ascii="Garamond" w:hAnsi="Garamond"/>
          <w:sz w:val="18"/>
          <w:szCs w:val="18"/>
          <w:lang w:val="en-US"/>
        </w:rPr>
        <w:t>Paragraph</w:t>
      </w:r>
      <w:r w:rsidRPr="00B60819">
        <w:rPr>
          <w:rFonts w:ascii="Garamond" w:hAnsi="Garamond"/>
          <w:sz w:val="18"/>
          <w:szCs w:val="18"/>
          <w:lang w:val="en-US"/>
        </w:rPr>
        <w:t xml:space="preserve"> 82, “</w:t>
      </w:r>
      <w:r w:rsidR="000611B3" w:rsidRPr="00B60819">
        <w:rPr>
          <w:rFonts w:ascii="Garamond" w:hAnsi="Garamond"/>
          <w:sz w:val="18"/>
          <w:szCs w:val="18"/>
          <w:lang w:val="en-US"/>
        </w:rPr>
        <w:t>Strikes and Human Rights. Standards on the rights involved in social protest and the obligations that should guide the state response</w:t>
      </w:r>
      <w:r w:rsidRPr="00B60819">
        <w:rPr>
          <w:rFonts w:ascii="Garamond" w:hAnsi="Garamond"/>
          <w:sz w:val="18"/>
          <w:szCs w:val="18"/>
          <w:lang w:val="en-US"/>
        </w:rPr>
        <w:t>”</w:t>
      </w:r>
    </w:p>
  </w:footnote>
  <w:footnote w:id="13">
    <w:p w14:paraId="0D1405B4" w14:textId="6711BBC8" w:rsidR="003D6F77" w:rsidRPr="00B60819" w:rsidRDefault="003D6F77" w:rsidP="003D6F77">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E71C59" w:rsidRPr="00B60819">
        <w:rPr>
          <w:rFonts w:ascii="Garamond" w:hAnsi="Garamond"/>
          <w:sz w:val="18"/>
          <w:szCs w:val="18"/>
          <w:lang w:val="en-US"/>
        </w:rPr>
        <w:t xml:space="preserve">Paragraph </w:t>
      </w:r>
      <w:r w:rsidRPr="00B60819">
        <w:rPr>
          <w:rFonts w:ascii="Garamond" w:hAnsi="Garamond"/>
          <w:sz w:val="18"/>
          <w:szCs w:val="18"/>
          <w:lang w:val="en-US"/>
        </w:rPr>
        <w:t>83, “</w:t>
      </w:r>
      <w:r w:rsidR="00A20D34" w:rsidRPr="00B60819">
        <w:rPr>
          <w:rFonts w:ascii="Garamond" w:hAnsi="Garamond"/>
          <w:sz w:val="18"/>
          <w:szCs w:val="18"/>
          <w:lang w:val="en-US"/>
        </w:rPr>
        <w:t>Strikes and Human Rights. Standards on the rights involved in social protest and the obligations that should guide the state response</w:t>
      </w:r>
      <w:r w:rsidRPr="00B60819">
        <w:rPr>
          <w:rFonts w:ascii="Garamond" w:hAnsi="Garamond"/>
          <w:sz w:val="18"/>
          <w:szCs w:val="18"/>
          <w:lang w:val="en-US"/>
        </w:rPr>
        <w:t>”</w:t>
      </w:r>
    </w:p>
  </w:footnote>
  <w:footnote w:id="14">
    <w:p w14:paraId="4E2598C5" w14:textId="373B72B2" w:rsidR="00E71C59" w:rsidRPr="007C7D1C" w:rsidRDefault="00E71C59" w:rsidP="00E71C59">
      <w:pPr>
        <w:jc w:val="both"/>
        <w:rPr>
          <w:rFonts w:ascii="Garamond" w:eastAsia="Times New Roman" w:hAnsi="Garamond" w:cs="Times New Roman"/>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Paragraph 96, </w:t>
      </w:r>
      <w:r w:rsidR="007C7D1C" w:rsidRPr="007C7D1C">
        <w:rPr>
          <w:rFonts w:ascii="Garamond" w:hAnsi="Garamond"/>
          <w:sz w:val="18"/>
          <w:szCs w:val="18"/>
          <w:lang w:val="en-US"/>
        </w:rPr>
        <w:t>IACHR, Annual Report of the Office of the Special Rapporteur for Freedom of Expression. 2005. Chapter V, “Public strikes as an exercise of freedom of expression and freedom of assembly</w:t>
      </w:r>
      <w:r w:rsidR="007C7D1C">
        <w:rPr>
          <w:rFonts w:ascii="Garamond" w:hAnsi="Garamond"/>
          <w:sz w:val="18"/>
          <w:szCs w:val="18"/>
          <w:lang w:val="en-US"/>
        </w:rPr>
        <w:t>”</w:t>
      </w:r>
    </w:p>
  </w:footnote>
  <w:footnote w:id="15">
    <w:p w14:paraId="6D72E6C6" w14:textId="2E5DD6A0" w:rsidR="00E71C59" w:rsidRPr="00B60819" w:rsidRDefault="00E71C59" w:rsidP="00E71C59">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Paragraph 205, “</w:t>
      </w:r>
      <w:r w:rsidR="00C274DE" w:rsidRPr="00B60819">
        <w:rPr>
          <w:rFonts w:ascii="Garamond" w:hAnsi="Garamond"/>
          <w:sz w:val="18"/>
          <w:szCs w:val="18"/>
          <w:lang w:val="en-US"/>
        </w:rPr>
        <w:t>Strikes and Human Rights. Standards on the rights involved in social protest and the obligations that should guide the state response</w:t>
      </w:r>
      <w:r w:rsidRPr="00B60819">
        <w:rPr>
          <w:rFonts w:ascii="Garamond" w:hAnsi="Garamond"/>
          <w:sz w:val="18"/>
          <w:szCs w:val="18"/>
          <w:lang w:val="en-US"/>
        </w:rPr>
        <w:t>”</w:t>
      </w:r>
    </w:p>
  </w:footnote>
  <w:footnote w:id="16">
    <w:p w14:paraId="2A1B18D1" w14:textId="77777777" w:rsidR="00124A3B" w:rsidRPr="00541F0C" w:rsidRDefault="00124A3B" w:rsidP="00124A3B">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541F0C">
        <w:rPr>
          <w:rFonts w:ascii="Garamond" w:hAnsi="Garamond"/>
          <w:sz w:val="18"/>
          <w:szCs w:val="18"/>
          <w:lang w:val="en-US"/>
        </w:rPr>
        <w:t xml:space="preserve"> Article 250, Political Constitution of Colombia </w:t>
      </w:r>
    </w:p>
  </w:footnote>
  <w:footnote w:id="17">
    <w:p w14:paraId="22DB7FC8" w14:textId="31314A80" w:rsidR="000314AF" w:rsidRPr="009547F7" w:rsidRDefault="000314AF" w:rsidP="000314AF">
      <w:pPr>
        <w:jc w:val="both"/>
        <w:rPr>
          <w:rFonts w:ascii="Garamond" w:eastAsia="Times New Roman" w:hAnsi="Garamond" w:cs="Times New Roman"/>
          <w:sz w:val="18"/>
          <w:szCs w:val="18"/>
          <w:lang w:val="en-US"/>
        </w:rPr>
      </w:pPr>
      <w:r w:rsidRPr="00B60819">
        <w:rPr>
          <w:rStyle w:val="Refdenotaalpie"/>
          <w:rFonts w:ascii="Garamond" w:hAnsi="Garamond"/>
          <w:sz w:val="18"/>
          <w:szCs w:val="18"/>
          <w:lang w:val="en-US"/>
        </w:rPr>
        <w:footnoteRef/>
      </w:r>
      <w:r w:rsidRPr="00634633">
        <w:rPr>
          <w:rFonts w:ascii="Garamond" w:hAnsi="Garamond"/>
          <w:sz w:val="18"/>
          <w:szCs w:val="18"/>
          <w:lang w:val="en-US"/>
        </w:rPr>
        <w:t xml:space="preserve"> </w:t>
      </w:r>
      <w:r w:rsidR="009547F7" w:rsidRPr="00634633">
        <w:rPr>
          <w:rFonts w:ascii="Garamond" w:hAnsi="Garamond"/>
          <w:sz w:val="18"/>
          <w:szCs w:val="18"/>
          <w:lang w:val="en-US"/>
        </w:rPr>
        <w:t>Paragraph</w:t>
      </w:r>
      <w:r w:rsidRPr="00634633">
        <w:rPr>
          <w:rFonts w:ascii="Garamond" w:hAnsi="Garamond"/>
          <w:sz w:val="18"/>
          <w:szCs w:val="18"/>
          <w:lang w:val="en-US"/>
        </w:rPr>
        <w:t xml:space="preserve"> 80, </w:t>
      </w:r>
      <w:r w:rsidR="009547F7" w:rsidRPr="00634633">
        <w:rPr>
          <w:rFonts w:ascii="Garamond" w:hAnsi="Garamond"/>
          <w:sz w:val="18"/>
          <w:szCs w:val="18"/>
          <w:lang w:val="en-US"/>
        </w:rPr>
        <w:t>Inter-American Court</w:t>
      </w:r>
      <w:r w:rsidRPr="00634633">
        <w:rPr>
          <w:rFonts w:ascii="Garamond" w:hAnsi="Garamond"/>
          <w:sz w:val="18"/>
          <w:szCs w:val="18"/>
          <w:lang w:val="en-US"/>
        </w:rPr>
        <w:t>.</w:t>
      </w:r>
      <w:r w:rsidR="009547F7" w:rsidRPr="00634633">
        <w:rPr>
          <w:rFonts w:ascii="Garamond" w:hAnsi="Garamond"/>
          <w:sz w:val="18"/>
          <w:szCs w:val="18"/>
          <w:lang w:val="en-US"/>
        </w:rPr>
        <w:t xml:space="preserve"> </w:t>
      </w:r>
      <w:r w:rsidR="009547F7" w:rsidRPr="009547F7">
        <w:rPr>
          <w:rFonts w:ascii="Garamond" w:eastAsia="Times New Roman" w:hAnsi="Garamond" w:cs="Times New Roman"/>
          <w:sz w:val="18"/>
          <w:szCs w:val="18"/>
          <w:lang w:val="en-US"/>
        </w:rPr>
        <w:t>Case of Gómez Palomino v. Peru. Merits, Reparations and Costs. Judgment of November 22, 2005. Series C No. 136</w:t>
      </w:r>
    </w:p>
  </w:footnote>
  <w:footnote w:id="18">
    <w:p w14:paraId="3567EB3B" w14:textId="041DB86F" w:rsidR="000314AF" w:rsidRPr="000314AF" w:rsidRDefault="000314AF" w:rsidP="000314AF">
      <w:pPr>
        <w:pStyle w:val="Textonotapie"/>
        <w:jc w:val="both"/>
        <w:rPr>
          <w:rFonts w:ascii="Garamond" w:hAnsi="Garamond"/>
          <w:sz w:val="18"/>
          <w:szCs w:val="18"/>
          <w:lang w:val="es-CO"/>
        </w:rPr>
      </w:pPr>
      <w:r w:rsidRPr="00B60819">
        <w:rPr>
          <w:rStyle w:val="Refdenotaalpie"/>
          <w:rFonts w:ascii="Garamond" w:hAnsi="Garamond"/>
          <w:sz w:val="18"/>
          <w:szCs w:val="18"/>
          <w:lang w:val="en-US"/>
        </w:rPr>
        <w:footnoteRef/>
      </w:r>
      <w:r w:rsidRPr="000314AF">
        <w:rPr>
          <w:rFonts w:ascii="Garamond" w:hAnsi="Garamond"/>
          <w:sz w:val="18"/>
          <w:szCs w:val="18"/>
          <w:lang w:val="es-CO"/>
        </w:rPr>
        <w:t xml:space="preserve"> </w:t>
      </w:r>
      <w:r w:rsidRPr="000314AF">
        <w:rPr>
          <w:rFonts w:ascii="Garamond" w:hAnsi="Garamond"/>
          <w:sz w:val="18"/>
          <w:szCs w:val="18"/>
          <w:lang w:val="es-CO"/>
        </w:rPr>
        <w:t>Motta</w:t>
      </w:r>
      <w:r w:rsidR="00634633">
        <w:rPr>
          <w:rFonts w:ascii="Garamond" w:hAnsi="Garamond"/>
          <w:sz w:val="18"/>
          <w:szCs w:val="18"/>
          <w:lang w:val="es-CO"/>
        </w:rPr>
        <w:t xml:space="preserve"> Case</w:t>
      </w:r>
      <w:r w:rsidRPr="000314AF">
        <w:rPr>
          <w:rFonts w:ascii="Garamond" w:hAnsi="Garamond"/>
          <w:sz w:val="18"/>
          <w:szCs w:val="18"/>
          <w:lang w:val="es-CO"/>
        </w:rPr>
        <w:t xml:space="preserve">, </w:t>
      </w:r>
      <w:r w:rsidR="00634633" w:rsidRPr="00634633">
        <w:rPr>
          <w:rFonts w:ascii="Garamond" w:hAnsi="Garamond"/>
          <w:sz w:val="18"/>
          <w:szCs w:val="18"/>
          <w:lang w:val="es-CO"/>
        </w:rPr>
        <w:t>February 19, 1991, paragraph 30; Paragraph 217, Mapiripán v. Colombia; Paragraph 171, Pueblo Bello Massacre v. Colombia</w:t>
      </w:r>
    </w:p>
  </w:footnote>
  <w:footnote w:id="19">
    <w:p w14:paraId="2196DA03" w14:textId="4B4215BB" w:rsidR="00304911" w:rsidRPr="00F23534" w:rsidRDefault="00304911" w:rsidP="00304911">
      <w:pPr>
        <w:jc w:val="both"/>
        <w:rPr>
          <w:rFonts w:ascii="Garamond" w:eastAsia="Times New Roman" w:hAnsi="Garamond" w:cs="Times New Roman"/>
          <w:sz w:val="18"/>
          <w:szCs w:val="18"/>
          <w:lang w:val="en-US"/>
        </w:rPr>
      </w:pPr>
      <w:r w:rsidRPr="00B60819">
        <w:rPr>
          <w:rStyle w:val="Refdenotaalpie"/>
          <w:rFonts w:ascii="Garamond" w:hAnsi="Garamond"/>
          <w:sz w:val="18"/>
          <w:szCs w:val="18"/>
          <w:lang w:val="en-US"/>
        </w:rPr>
        <w:footnoteRef/>
      </w:r>
      <w:r w:rsidRPr="00634633">
        <w:rPr>
          <w:rFonts w:ascii="Garamond" w:hAnsi="Garamond"/>
          <w:sz w:val="18"/>
          <w:szCs w:val="18"/>
          <w:lang w:val="en-US"/>
        </w:rPr>
        <w:t xml:space="preserve"> </w:t>
      </w:r>
      <w:r w:rsidR="00634633" w:rsidRPr="00634633">
        <w:rPr>
          <w:rFonts w:ascii="Garamond" w:hAnsi="Garamond"/>
          <w:sz w:val="18"/>
          <w:szCs w:val="18"/>
          <w:lang w:val="en-US"/>
        </w:rPr>
        <w:t xml:space="preserve">Paragraphs 191-193, </w:t>
      </w:r>
      <w:r w:rsidR="00F23534" w:rsidRPr="00634633">
        <w:rPr>
          <w:rFonts w:ascii="Garamond" w:hAnsi="Garamond"/>
          <w:sz w:val="18"/>
          <w:szCs w:val="18"/>
          <w:lang w:val="en-US"/>
        </w:rPr>
        <w:t>Inter-American Court</w:t>
      </w:r>
      <w:r w:rsidR="00634633" w:rsidRPr="00634633">
        <w:rPr>
          <w:rFonts w:ascii="Garamond" w:hAnsi="Garamond"/>
          <w:sz w:val="18"/>
          <w:szCs w:val="18"/>
          <w:lang w:val="en-US"/>
        </w:rPr>
        <w:t xml:space="preserve">. Case of Veliz Franco et al. V. Guatemala. Preliminary Objections, Merits, Reparations and Costs. </w:t>
      </w:r>
      <w:r w:rsidR="00634633" w:rsidRPr="00F23534">
        <w:rPr>
          <w:rFonts w:ascii="Garamond" w:hAnsi="Garamond"/>
          <w:sz w:val="18"/>
          <w:szCs w:val="18"/>
          <w:lang w:val="en-US"/>
        </w:rPr>
        <w:t>Judgment of May 19, 2014. Series C No. 277</w:t>
      </w:r>
    </w:p>
  </w:footnote>
  <w:footnote w:id="20">
    <w:p w14:paraId="2AE67BBB" w14:textId="52B24B9F" w:rsidR="00951506" w:rsidRPr="00541F0C" w:rsidRDefault="00951506" w:rsidP="00951506">
      <w:pPr>
        <w:jc w:val="both"/>
        <w:rPr>
          <w:rFonts w:ascii="Garamond" w:eastAsia="Times New Roman" w:hAnsi="Garamond" w:cs="Times New Roman"/>
          <w:sz w:val="18"/>
          <w:szCs w:val="18"/>
          <w:lang w:val="en-US"/>
        </w:rPr>
      </w:pPr>
      <w:r w:rsidRPr="00B60819">
        <w:rPr>
          <w:rStyle w:val="Refdenotaalpie"/>
          <w:rFonts w:ascii="Garamond" w:hAnsi="Garamond"/>
          <w:sz w:val="18"/>
          <w:szCs w:val="18"/>
          <w:lang w:val="en-US"/>
        </w:rPr>
        <w:footnoteRef/>
      </w:r>
      <w:r w:rsidRPr="00F23534">
        <w:rPr>
          <w:rFonts w:ascii="Garamond" w:hAnsi="Garamond"/>
          <w:sz w:val="18"/>
          <w:szCs w:val="18"/>
          <w:lang w:val="en-US"/>
        </w:rPr>
        <w:t xml:space="preserve"> </w:t>
      </w:r>
      <w:r w:rsidR="00F23534" w:rsidRPr="00F23534">
        <w:rPr>
          <w:rFonts w:ascii="Garamond" w:hAnsi="Garamond"/>
          <w:sz w:val="18"/>
          <w:szCs w:val="18"/>
          <w:lang w:val="en-US"/>
        </w:rPr>
        <w:t xml:space="preserve">Paragraph 139, </w:t>
      </w:r>
      <w:r w:rsidR="00216A80" w:rsidRPr="00634633">
        <w:rPr>
          <w:rFonts w:ascii="Garamond" w:hAnsi="Garamond"/>
          <w:sz w:val="18"/>
          <w:szCs w:val="18"/>
          <w:lang w:val="en-US"/>
        </w:rPr>
        <w:t>Inter-American Court</w:t>
      </w:r>
      <w:r w:rsidR="00F23534" w:rsidRPr="00F23534">
        <w:rPr>
          <w:rFonts w:ascii="Garamond" w:hAnsi="Garamond"/>
          <w:sz w:val="18"/>
          <w:szCs w:val="18"/>
          <w:lang w:val="en-US"/>
        </w:rPr>
        <w:t xml:space="preserve">. Case of Rochac Hernández et al. V. El Salvador. Merits, Reparations and Costs. Judgment of October 14, 2014. </w:t>
      </w:r>
      <w:r w:rsidR="00F23534" w:rsidRPr="00541F0C">
        <w:rPr>
          <w:rFonts w:ascii="Garamond" w:hAnsi="Garamond"/>
          <w:sz w:val="18"/>
          <w:szCs w:val="18"/>
          <w:lang w:val="en-US"/>
        </w:rPr>
        <w:t>Series C No. 285</w:t>
      </w:r>
    </w:p>
  </w:footnote>
  <w:footnote w:id="21">
    <w:p w14:paraId="732DEAEF" w14:textId="113AF0C4" w:rsidR="00951506" w:rsidRPr="00AB2FFB" w:rsidRDefault="00951506" w:rsidP="00951506">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AB2FFB">
        <w:rPr>
          <w:rFonts w:ascii="Garamond" w:hAnsi="Garamond"/>
          <w:sz w:val="18"/>
          <w:szCs w:val="18"/>
          <w:lang w:val="en-US"/>
        </w:rPr>
        <w:t xml:space="preserve"> </w:t>
      </w:r>
      <w:r w:rsidRPr="00AB2FFB">
        <w:rPr>
          <w:rFonts w:ascii="Garamond" w:hAnsi="Garamond"/>
          <w:i/>
          <w:iCs/>
          <w:sz w:val="18"/>
          <w:szCs w:val="18"/>
          <w:lang w:val="en-US"/>
        </w:rPr>
        <w:t>Ibíd</w:t>
      </w:r>
      <w:r w:rsidRPr="00AB2FFB">
        <w:rPr>
          <w:rFonts w:ascii="Garamond" w:hAnsi="Garamond"/>
          <w:sz w:val="18"/>
          <w:szCs w:val="18"/>
          <w:lang w:val="en-US"/>
        </w:rPr>
        <w:t xml:space="preserve">; </w:t>
      </w:r>
      <w:r w:rsidR="00AB2FFB" w:rsidRPr="00AB2FFB">
        <w:rPr>
          <w:rFonts w:ascii="Garamond" w:hAnsi="Garamond"/>
          <w:sz w:val="18"/>
          <w:szCs w:val="18"/>
          <w:lang w:val="en-US"/>
        </w:rPr>
        <w:t>Page 1, Minnesota Protocol</w:t>
      </w:r>
    </w:p>
  </w:footnote>
  <w:footnote w:id="22">
    <w:p w14:paraId="718AF54B" w14:textId="48995115" w:rsidR="00866BAA" w:rsidRPr="00AB2FFB" w:rsidRDefault="00866BAA" w:rsidP="00866BAA">
      <w:pPr>
        <w:jc w:val="both"/>
        <w:rPr>
          <w:rFonts w:ascii="Garamond" w:eastAsia="Times New Roman" w:hAnsi="Garamond" w:cs="Times New Roman"/>
          <w:sz w:val="18"/>
          <w:szCs w:val="18"/>
          <w:lang w:val="en-US"/>
        </w:rPr>
      </w:pPr>
      <w:r w:rsidRPr="00B60819">
        <w:rPr>
          <w:rStyle w:val="Refdenotaalpie"/>
          <w:rFonts w:ascii="Garamond" w:hAnsi="Garamond"/>
          <w:sz w:val="18"/>
          <w:szCs w:val="18"/>
          <w:lang w:val="en-US"/>
        </w:rPr>
        <w:footnoteRef/>
      </w:r>
      <w:r w:rsidRPr="00AB2FFB">
        <w:rPr>
          <w:rFonts w:ascii="Garamond" w:hAnsi="Garamond"/>
          <w:sz w:val="18"/>
          <w:szCs w:val="18"/>
          <w:lang w:val="en-US"/>
        </w:rPr>
        <w:t xml:space="preserve"> </w:t>
      </w:r>
      <w:r w:rsidR="00AB2FFB" w:rsidRPr="00AB2FFB">
        <w:rPr>
          <w:rFonts w:ascii="Garamond" w:hAnsi="Garamond"/>
          <w:sz w:val="18"/>
          <w:szCs w:val="18"/>
          <w:lang w:val="en-US"/>
        </w:rPr>
        <w:t xml:space="preserve">Paragraph 188, </w:t>
      </w:r>
      <w:r w:rsidR="00AB2FFB" w:rsidRPr="00634633">
        <w:rPr>
          <w:rFonts w:ascii="Garamond" w:hAnsi="Garamond"/>
          <w:sz w:val="18"/>
          <w:szCs w:val="18"/>
          <w:lang w:val="en-US"/>
        </w:rPr>
        <w:t>Inter-American Court</w:t>
      </w:r>
      <w:r w:rsidR="00AB2FFB" w:rsidRPr="00AB2FFB">
        <w:rPr>
          <w:rFonts w:ascii="Garamond" w:hAnsi="Garamond"/>
          <w:sz w:val="18"/>
          <w:szCs w:val="18"/>
          <w:lang w:val="en-US"/>
        </w:rPr>
        <w:t xml:space="preserve">. </w:t>
      </w:r>
      <w:r w:rsidR="00AB2FFB" w:rsidRPr="00541F0C">
        <w:rPr>
          <w:rFonts w:ascii="Garamond" w:hAnsi="Garamond"/>
          <w:sz w:val="18"/>
          <w:szCs w:val="18"/>
          <w:lang w:val="en-US"/>
        </w:rPr>
        <w:t xml:space="preserve">Case of Luna López v. Honduras. </w:t>
      </w:r>
      <w:r w:rsidR="00AB2FFB" w:rsidRPr="00AB2FFB">
        <w:rPr>
          <w:rFonts w:ascii="Garamond" w:hAnsi="Garamond"/>
          <w:sz w:val="18"/>
          <w:szCs w:val="18"/>
          <w:lang w:val="en-US"/>
        </w:rPr>
        <w:t>Merits, Reparations and Costs. Judgment of October 10, 2013. Series C No. 269.</w:t>
      </w:r>
    </w:p>
  </w:footnote>
  <w:footnote w:id="23">
    <w:p w14:paraId="1D8275D5" w14:textId="2C5D7863" w:rsidR="0008045D" w:rsidRPr="00360DDF" w:rsidRDefault="0008045D" w:rsidP="0008045D">
      <w:pPr>
        <w:jc w:val="both"/>
        <w:rPr>
          <w:rFonts w:ascii="Garamond" w:eastAsia="Times New Roman" w:hAnsi="Garamond" w:cs="Times New Roman"/>
          <w:sz w:val="18"/>
          <w:szCs w:val="18"/>
          <w:lang w:val="en-US"/>
        </w:rPr>
      </w:pPr>
      <w:r w:rsidRPr="00B60819">
        <w:rPr>
          <w:rStyle w:val="Refdenotaalpie"/>
          <w:rFonts w:ascii="Garamond" w:hAnsi="Garamond"/>
          <w:sz w:val="18"/>
          <w:szCs w:val="18"/>
          <w:lang w:val="en-US"/>
        </w:rPr>
        <w:footnoteRef/>
      </w:r>
      <w:r w:rsidRPr="00541F0C">
        <w:rPr>
          <w:rFonts w:ascii="Garamond" w:hAnsi="Garamond"/>
          <w:sz w:val="18"/>
          <w:szCs w:val="18"/>
          <w:lang w:val="en-US"/>
        </w:rPr>
        <w:t xml:space="preserve"> </w:t>
      </w:r>
      <w:r w:rsidR="00360DDF" w:rsidRPr="00541F0C">
        <w:rPr>
          <w:rFonts w:ascii="Garamond" w:hAnsi="Garamond"/>
          <w:sz w:val="18"/>
          <w:szCs w:val="18"/>
          <w:lang w:val="en-US"/>
        </w:rPr>
        <w:t xml:space="preserve">Paragraph 193, Case of Fernández Ortega et al. V. Mexico. </w:t>
      </w:r>
      <w:r w:rsidR="00360DDF" w:rsidRPr="00360DDF">
        <w:rPr>
          <w:rFonts w:ascii="Garamond" w:hAnsi="Garamond"/>
          <w:sz w:val="18"/>
          <w:szCs w:val="18"/>
          <w:lang w:val="en-US"/>
        </w:rPr>
        <w:t>Preliminary Objection, Merits, Reparations and Costs. Judgment of August 30, 2010</w:t>
      </w:r>
      <w:r w:rsidRPr="00360DDF">
        <w:rPr>
          <w:rFonts w:ascii="Garamond" w:eastAsia="Times New Roman" w:hAnsi="Garamond" w:cs="Times New Roman"/>
          <w:sz w:val="18"/>
          <w:szCs w:val="18"/>
          <w:lang w:val="en-US"/>
        </w:rPr>
        <w:t>.</w:t>
      </w:r>
    </w:p>
  </w:footnote>
  <w:footnote w:id="24">
    <w:p w14:paraId="4A89BC7F" w14:textId="272D5DFF" w:rsidR="0008045D" w:rsidRPr="00360DDF" w:rsidRDefault="0008045D" w:rsidP="0008045D">
      <w:pPr>
        <w:jc w:val="both"/>
        <w:rPr>
          <w:rFonts w:ascii="Garamond" w:eastAsia="Times New Roman" w:hAnsi="Garamond" w:cs="Times New Roman"/>
          <w:sz w:val="18"/>
          <w:szCs w:val="18"/>
          <w:lang w:val="en-US"/>
        </w:rPr>
      </w:pPr>
      <w:r w:rsidRPr="00B60819">
        <w:rPr>
          <w:rStyle w:val="Refdenotaalpie"/>
          <w:rFonts w:ascii="Garamond" w:hAnsi="Garamond"/>
          <w:sz w:val="18"/>
          <w:szCs w:val="18"/>
          <w:lang w:val="en-US"/>
        </w:rPr>
        <w:footnoteRef/>
      </w:r>
      <w:r w:rsidRPr="00360DDF">
        <w:rPr>
          <w:rFonts w:ascii="Garamond" w:hAnsi="Garamond"/>
          <w:sz w:val="18"/>
          <w:szCs w:val="18"/>
          <w:lang w:val="en-US"/>
        </w:rPr>
        <w:t xml:space="preserve"> </w:t>
      </w:r>
      <w:r w:rsidR="00360DDF" w:rsidRPr="00360DDF">
        <w:rPr>
          <w:rFonts w:ascii="Garamond" w:hAnsi="Garamond"/>
          <w:sz w:val="18"/>
          <w:szCs w:val="18"/>
          <w:lang w:val="en-US"/>
        </w:rPr>
        <w:t>Paragraph 187, Case of Veliz Franco et al. V. Guatemala. Preliminary Objections, Merits, Reparations and Costs. Judgment of May 19, 2014</w:t>
      </w:r>
      <w:r w:rsidRPr="00360DDF">
        <w:rPr>
          <w:rFonts w:ascii="Garamond" w:eastAsia="Times New Roman" w:hAnsi="Garamond" w:cs="Times New Roman"/>
          <w:sz w:val="18"/>
          <w:szCs w:val="18"/>
          <w:lang w:val="en-US"/>
        </w:rPr>
        <w:t>.</w:t>
      </w:r>
    </w:p>
  </w:footnote>
  <w:footnote w:id="25">
    <w:p w14:paraId="522B2DBA" w14:textId="33B2B0F5" w:rsidR="006315A2" w:rsidRPr="00B60819" w:rsidRDefault="006315A2" w:rsidP="006315A2">
      <w:pPr>
        <w:pStyle w:val="Textonotapie"/>
        <w:jc w:val="both"/>
        <w:rPr>
          <w:rFonts w:ascii="Garamond" w:hAnsi="Garamond"/>
          <w:sz w:val="18"/>
          <w:szCs w:val="18"/>
          <w:lang w:val="en-US"/>
        </w:rPr>
      </w:pPr>
      <w:r w:rsidRPr="00B60819">
        <w:rPr>
          <w:rStyle w:val="Refdenotaalpie"/>
          <w:rFonts w:ascii="Garamond" w:hAnsi="Garamond"/>
          <w:sz w:val="18"/>
          <w:szCs w:val="18"/>
          <w:lang w:val="en-US"/>
        </w:rPr>
        <w:footnoteRef/>
      </w:r>
      <w:r w:rsidRPr="00360DDF">
        <w:rPr>
          <w:rFonts w:ascii="Garamond" w:hAnsi="Garamond"/>
          <w:sz w:val="18"/>
          <w:szCs w:val="18"/>
          <w:lang w:val="en-US"/>
        </w:rPr>
        <w:t xml:space="preserve"> </w:t>
      </w:r>
      <w:r w:rsidR="00360DDF" w:rsidRPr="00360DDF">
        <w:rPr>
          <w:rFonts w:ascii="Garamond" w:hAnsi="Garamond"/>
          <w:sz w:val="18"/>
          <w:szCs w:val="18"/>
          <w:lang w:val="en-US"/>
        </w:rPr>
        <w:t xml:space="preserve">Paragraph 193, Case of Fernández Ortega et al. V. Mexico. Preliminary Objection, Merits, Reparations and Costs. </w:t>
      </w:r>
      <w:r w:rsidR="00360DDF" w:rsidRPr="008A416D">
        <w:rPr>
          <w:rFonts w:ascii="Garamond" w:hAnsi="Garamond"/>
          <w:sz w:val="18"/>
          <w:szCs w:val="18"/>
          <w:lang w:val="en-US"/>
        </w:rPr>
        <w:t>Judgment of August 30, 2010.</w:t>
      </w:r>
    </w:p>
  </w:footnote>
  <w:footnote w:id="26">
    <w:p w14:paraId="787EAC3D" w14:textId="62662172" w:rsidR="00C7254E" w:rsidRPr="008A416D" w:rsidRDefault="00C7254E" w:rsidP="00C7254E">
      <w:pPr>
        <w:jc w:val="both"/>
        <w:rPr>
          <w:rFonts w:ascii="Garamond" w:hAnsi="Garamond"/>
          <w:sz w:val="18"/>
          <w:szCs w:val="18"/>
          <w:lang w:val="en-US"/>
        </w:rPr>
      </w:pPr>
      <w:r w:rsidRPr="00B60819">
        <w:rPr>
          <w:rStyle w:val="Refdenotaalpie"/>
          <w:rFonts w:ascii="Garamond" w:hAnsi="Garamond"/>
          <w:sz w:val="18"/>
          <w:szCs w:val="18"/>
          <w:lang w:val="en-US"/>
        </w:rPr>
        <w:footnoteRef/>
      </w:r>
      <w:r w:rsidRPr="00B60819">
        <w:rPr>
          <w:rFonts w:ascii="Garamond" w:hAnsi="Garamond"/>
          <w:sz w:val="18"/>
          <w:szCs w:val="18"/>
          <w:lang w:val="en-US"/>
        </w:rPr>
        <w:t xml:space="preserve"> </w:t>
      </w:r>
      <w:r w:rsidR="008A416D" w:rsidRPr="008A416D">
        <w:rPr>
          <w:rFonts w:ascii="Garamond" w:hAnsi="Garamond"/>
          <w:sz w:val="18"/>
          <w:szCs w:val="18"/>
          <w:lang w:val="en-US"/>
        </w:rPr>
        <w:t>Paragraph 155, I</w:t>
      </w:r>
      <w:r w:rsidR="008A416D">
        <w:rPr>
          <w:rFonts w:ascii="Garamond" w:hAnsi="Garamond"/>
          <w:sz w:val="18"/>
          <w:szCs w:val="18"/>
          <w:lang w:val="en-US"/>
        </w:rPr>
        <w:t>nter-</w:t>
      </w:r>
      <w:r w:rsidR="008A416D" w:rsidRPr="008A416D">
        <w:rPr>
          <w:rFonts w:ascii="Garamond" w:hAnsi="Garamond"/>
          <w:sz w:val="18"/>
          <w:szCs w:val="18"/>
          <w:lang w:val="en-US"/>
        </w:rPr>
        <w:t>A</w:t>
      </w:r>
      <w:r w:rsidR="008A416D">
        <w:rPr>
          <w:rFonts w:ascii="Garamond" w:hAnsi="Garamond"/>
          <w:sz w:val="18"/>
          <w:szCs w:val="18"/>
          <w:lang w:val="en-US"/>
        </w:rPr>
        <w:t xml:space="preserve">merican </w:t>
      </w:r>
      <w:r w:rsidR="008A416D" w:rsidRPr="008A416D">
        <w:rPr>
          <w:rFonts w:ascii="Garamond" w:hAnsi="Garamond"/>
          <w:sz w:val="18"/>
          <w:szCs w:val="18"/>
          <w:lang w:val="en-US"/>
        </w:rPr>
        <w:t>Cour</w:t>
      </w:r>
      <w:r w:rsidR="008A416D">
        <w:rPr>
          <w:rFonts w:ascii="Garamond" w:hAnsi="Garamond"/>
          <w:sz w:val="18"/>
          <w:szCs w:val="18"/>
          <w:lang w:val="en-US"/>
        </w:rPr>
        <w:t>t.</w:t>
      </w:r>
      <w:r w:rsidR="008A416D" w:rsidRPr="008A416D">
        <w:rPr>
          <w:rFonts w:ascii="Garamond" w:hAnsi="Garamond"/>
          <w:sz w:val="18"/>
          <w:szCs w:val="18"/>
          <w:lang w:val="en-US"/>
        </w:rPr>
        <w:t xml:space="preserve"> Case V.R.P., V.P.C. and others v. Nicaragua. Preliminary Objections, Merits, Reparations and Costs. Judgment of March 8, 2018. Series C No. 350.</w:t>
      </w:r>
      <w:r w:rsidRPr="00B60819">
        <w:rPr>
          <w:rFonts w:ascii="Garamond" w:eastAsia="Times New Roman" w:hAnsi="Garamond" w:cs="Times New Roman"/>
          <w:sz w:val="18"/>
          <w:szCs w:val="18"/>
          <w:lang w:val="en-US"/>
        </w:rPr>
        <w:t xml:space="preserve"> </w:t>
      </w:r>
    </w:p>
  </w:footnote>
  <w:footnote w:id="27">
    <w:p w14:paraId="7521A734" w14:textId="11BD5B76" w:rsidR="007E29A6" w:rsidRPr="007E29A6" w:rsidRDefault="007E29A6" w:rsidP="007E29A6">
      <w:pPr>
        <w:pStyle w:val="Textonotapie"/>
        <w:jc w:val="both"/>
        <w:rPr>
          <w:rFonts w:ascii="Garamond" w:hAnsi="Garamond"/>
          <w:sz w:val="18"/>
          <w:szCs w:val="18"/>
          <w:lang w:val="es-CO"/>
        </w:rPr>
      </w:pPr>
      <w:r w:rsidRPr="00B60819">
        <w:rPr>
          <w:rStyle w:val="Refdenotaalpie"/>
          <w:rFonts w:ascii="Garamond" w:hAnsi="Garamond"/>
          <w:sz w:val="18"/>
          <w:szCs w:val="18"/>
          <w:lang w:val="en-US"/>
        </w:rPr>
        <w:footnoteRef/>
      </w:r>
      <w:r w:rsidRPr="00C47526">
        <w:rPr>
          <w:rFonts w:ascii="Garamond" w:hAnsi="Garamond"/>
          <w:sz w:val="18"/>
          <w:szCs w:val="18"/>
          <w:lang w:val="en-US"/>
        </w:rPr>
        <w:t xml:space="preserve"> </w:t>
      </w:r>
      <w:r w:rsidR="00C47526" w:rsidRPr="00C47526">
        <w:rPr>
          <w:rFonts w:ascii="Garamond" w:hAnsi="Garamond"/>
          <w:sz w:val="18"/>
          <w:szCs w:val="18"/>
          <w:lang w:val="en-US"/>
        </w:rPr>
        <w:t xml:space="preserve">Paragraph </w:t>
      </w:r>
      <w:r w:rsidRPr="00C47526">
        <w:rPr>
          <w:rFonts w:ascii="Garamond" w:hAnsi="Garamond"/>
          <w:sz w:val="18"/>
          <w:szCs w:val="18"/>
          <w:lang w:val="en-US"/>
        </w:rPr>
        <w:t xml:space="preserve">177, </w:t>
      </w:r>
      <w:r w:rsidR="00C47526" w:rsidRPr="00C47526">
        <w:rPr>
          <w:rFonts w:ascii="Garamond" w:hAnsi="Garamond"/>
          <w:sz w:val="18"/>
          <w:szCs w:val="18"/>
          <w:lang w:val="en-US"/>
        </w:rPr>
        <w:t xml:space="preserve">Case of </w:t>
      </w:r>
      <w:r w:rsidRPr="00C47526">
        <w:rPr>
          <w:rFonts w:ascii="Garamond" w:hAnsi="Garamond"/>
          <w:sz w:val="18"/>
          <w:szCs w:val="18"/>
          <w:lang w:val="en-US"/>
        </w:rPr>
        <w:t xml:space="preserve">Velásquez Rodríguez, </w:t>
      </w:r>
      <w:r w:rsidR="00C47526" w:rsidRPr="00C47526">
        <w:rPr>
          <w:rFonts w:ascii="Garamond" w:hAnsi="Garamond"/>
          <w:sz w:val="18"/>
          <w:szCs w:val="18"/>
          <w:lang w:val="en-US"/>
        </w:rPr>
        <w:t>Judgement of July</w:t>
      </w:r>
      <w:r w:rsidR="00C47526">
        <w:rPr>
          <w:rFonts w:ascii="Garamond" w:hAnsi="Garamond"/>
          <w:sz w:val="18"/>
          <w:szCs w:val="18"/>
          <w:lang w:val="en-US"/>
        </w:rPr>
        <w:t xml:space="preserve"> 29, 1</w:t>
      </w:r>
      <w:r w:rsidRPr="00C47526">
        <w:rPr>
          <w:rFonts w:ascii="Garamond" w:hAnsi="Garamond"/>
          <w:sz w:val="18"/>
          <w:szCs w:val="18"/>
          <w:lang w:val="en-US"/>
        </w:rPr>
        <w:t>988.</w:t>
      </w:r>
      <w:r w:rsidR="00C47526" w:rsidRPr="00C47526">
        <w:rPr>
          <w:rFonts w:ascii="Garamond" w:hAnsi="Garamond"/>
          <w:sz w:val="18"/>
          <w:szCs w:val="18"/>
          <w:lang w:val="en-US"/>
        </w:rPr>
        <w:t xml:space="preserve"> </w:t>
      </w:r>
      <w:r w:rsidR="00C47526" w:rsidRPr="00C47526">
        <w:rPr>
          <w:rFonts w:ascii="Garamond" w:hAnsi="Garamond"/>
          <w:sz w:val="18"/>
          <w:szCs w:val="18"/>
          <w:lang w:val="es-CO"/>
        </w:rPr>
        <w:t>187</w:t>
      </w:r>
      <w:r w:rsidR="00C47526">
        <w:rPr>
          <w:rFonts w:ascii="Garamond" w:hAnsi="Garamond"/>
          <w:sz w:val="18"/>
          <w:szCs w:val="18"/>
          <w:lang w:val="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69"/>
    <w:multiLevelType w:val="hybridMultilevel"/>
    <w:tmpl w:val="C262A6E6"/>
    <w:lvl w:ilvl="0" w:tplc="2EA4D3B8">
      <w:start w:val="1"/>
      <w:numFmt w:val="low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397E"/>
    <w:multiLevelType w:val="hybridMultilevel"/>
    <w:tmpl w:val="A02E82C2"/>
    <w:lvl w:ilvl="0" w:tplc="55CCEB9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CD7721"/>
    <w:multiLevelType w:val="hybridMultilevel"/>
    <w:tmpl w:val="6B1E0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C1AE1"/>
    <w:multiLevelType w:val="hybridMultilevel"/>
    <w:tmpl w:val="FB9E8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6510B"/>
    <w:multiLevelType w:val="hybridMultilevel"/>
    <w:tmpl w:val="6644C79A"/>
    <w:lvl w:ilvl="0" w:tplc="8C3C663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D7A7B"/>
    <w:multiLevelType w:val="hybridMultilevel"/>
    <w:tmpl w:val="3B94F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21043D"/>
    <w:multiLevelType w:val="hybridMultilevel"/>
    <w:tmpl w:val="64B4E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63F76"/>
    <w:multiLevelType w:val="hybridMultilevel"/>
    <w:tmpl w:val="B566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A31AA"/>
    <w:multiLevelType w:val="hybridMultilevel"/>
    <w:tmpl w:val="18B088CE"/>
    <w:lvl w:ilvl="0" w:tplc="011E2FD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D1BE2"/>
    <w:multiLevelType w:val="hybridMultilevel"/>
    <w:tmpl w:val="4000A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9765B"/>
    <w:multiLevelType w:val="hybridMultilevel"/>
    <w:tmpl w:val="A50EA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A5B93"/>
    <w:multiLevelType w:val="hybridMultilevel"/>
    <w:tmpl w:val="C12E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2009F"/>
    <w:multiLevelType w:val="hybridMultilevel"/>
    <w:tmpl w:val="22D6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B3D36"/>
    <w:multiLevelType w:val="hybridMultilevel"/>
    <w:tmpl w:val="E90E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C02EE"/>
    <w:multiLevelType w:val="hybridMultilevel"/>
    <w:tmpl w:val="043A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C0E78"/>
    <w:multiLevelType w:val="hybridMultilevel"/>
    <w:tmpl w:val="851AB126"/>
    <w:lvl w:ilvl="0" w:tplc="0C965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3"/>
  </w:num>
  <w:num w:numId="4">
    <w:abstractNumId w:val="0"/>
  </w:num>
  <w:num w:numId="5">
    <w:abstractNumId w:val="14"/>
  </w:num>
  <w:num w:numId="6">
    <w:abstractNumId w:val="12"/>
  </w:num>
  <w:num w:numId="7">
    <w:abstractNumId w:val="11"/>
  </w:num>
  <w:num w:numId="8">
    <w:abstractNumId w:val="13"/>
  </w:num>
  <w:num w:numId="9">
    <w:abstractNumId w:val="2"/>
  </w:num>
  <w:num w:numId="10">
    <w:abstractNumId w:val="8"/>
  </w:num>
  <w:num w:numId="11">
    <w:abstractNumId w:val="4"/>
  </w:num>
  <w:num w:numId="12">
    <w:abstractNumId w:val="1"/>
  </w:num>
  <w:num w:numId="13">
    <w:abstractNumId w:val="7"/>
  </w:num>
  <w:num w:numId="14">
    <w:abstractNumId w:val="1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88"/>
    <w:rsid w:val="00003BB4"/>
    <w:rsid w:val="0000758C"/>
    <w:rsid w:val="00016E44"/>
    <w:rsid w:val="00030720"/>
    <w:rsid w:val="000314AF"/>
    <w:rsid w:val="000347E0"/>
    <w:rsid w:val="00046DB5"/>
    <w:rsid w:val="00051ABF"/>
    <w:rsid w:val="00053F59"/>
    <w:rsid w:val="000555A5"/>
    <w:rsid w:val="000611B3"/>
    <w:rsid w:val="00065CDD"/>
    <w:rsid w:val="000740B9"/>
    <w:rsid w:val="0008045D"/>
    <w:rsid w:val="00090D03"/>
    <w:rsid w:val="000A4AF2"/>
    <w:rsid w:val="000B2267"/>
    <w:rsid w:val="000C1A41"/>
    <w:rsid w:val="000C1A9A"/>
    <w:rsid w:val="000C2327"/>
    <w:rsid w:val="000C4ACE"/>
    <w:rsid w:val="000D0F61"/>
    <w:rsid w:val="000E5FDE"/>
    <w:rsid w:val="000F0635"/>
    <w:rsid w:val="000F34A4"/>
    <w:rsid w:val="0010504B"/>
    <w:rsid w:val="00106F0F"/>
    <w:rsid w:val="00113884"/>
    <w:rsid w:val="0012275B"/>
    <w:rsid w:val="00124A3B"/>
    <w:rsid w:val="00125A6A"/>
    <w:rsid w:val="00127694"/>
    <w:rsid w:val="001426A3"/>
    <w:rsid w:val="00182A8B"/>
    <w:rsid w:val="001B0D69"/>
    <w:rsid w:val="001B315F"/>
    <w:rsid w:val="001B4202"/>
    <w:rsid w:val="001B6504"/>
    <w:rsid w:val="001C1237"/>
    <w:rsid w:val="001C5898"/>
    <w:rsid w:val="001D3425"/>
    <w:rsid w:val="001F091B"/>
    <w:rsid w:val="001F603D"/>
    <w:rsid w:val="002126FB"/>
    <w:rsid w:val="00216A80"/>
    <w:rsid w:val="00243313"/>
    <w:rsid w:val="0024533E"/>
    <w:rsid w:val="00245393"/>
    <w:rsid w:val="00263B19"/>
    <w:rsid w:val="002643C8"/>
    <w:rsid w:val="00267F1F"/>
    <w:rsid w:val="002A2462"/>
    <w:rsid w:val="002E31DD"/>
    <w:rsid w:val="002F1CD9"/>
    <w:rsid w:val="00304911"/>
    <w:rsid w:val="00316691"/>
    <w:rsid w:val="00316F4E"/>
    <w:rsid w:val="00326ED9"/>
    <w:rsid w:val="0033237A"/>
    <w:rsid w:val="0034120A"/>
    <w:rsid w:val="003526A6"/>
    <w:rsid w:val="00353D53"/>
    <w:rsid w:val="00360DDF"/>
    <w:rsid w:val="00362EBE"/>
    <w:rsid w:val="00375B51"/>
    <w:rsid w:val="00396F3C"/>
    <w:rsid w:val="00397C6B"/>
    <w:rsid w:val="003A0323"/>
    <w:rsid w:val="003A22BA"/>
    <w:rsid w:val="003A50F6"/>
    <w:rsid w:val="003D00A5"/>
    <w:rsid w:val="003D6F77"/>
    <w:rsid w:val="003D7575"/>
    <w:rsid w:val="003D7789"/>
    <w:rsid w:val="003F0595"/>
    <w:rsid w:val="004000F3"/>
    <w:rsid w:val="0040701A"/>
    <w:rsid w:val="00410172"/>
    <w:rsid w:val="00417579"/>
    <w:rsid w:val="00440CFA"/>
    <w:rsid w:val="0044257F"/>
    <w:rsid w:val="00451791"/>
    <w:rsid w:val="00482E15"/>
    <w:rsid w:val="00483219"/>
    <w:rsid w:val="004A1CE4"/>
    <w:rsid w:val="004B39E2"/>
    <w:rsid w:val="004B79AA"/>
    <w:rsid w:val="004C7832"/>
    <w:rsid w:val="004E17F0"/>
    <w:rsid w:val="004E2E04"/>
    <w:rsid w:val="005033C5"/>
    <w:rsid w:val="00503ECA"/>
    <w:rsid w:val="00511BD8"/>
    <w:rsid w:val="005137D7"/>
    <w:rsid w:val="00535A17"/>
    <w:rsid w:val="00537ED2"/>
    <w:rsid w:val="00541F0C"/>
    <w:rsid w:val="00544BC2"/>
    <w:rsid w:val="005519F3"/>
    <w:rsid w:val="005520B9"/>
    <w:rsid w:val="00563982"/>
    <w:rsid w:val="00580A41"/>
    <w:rsid w:val="0058747C"/>
    <w:rsid w:val="005A1CAC"/>
    <w:rsid w:val="005A7CDD"/>
    <w:rsid w:val="005B187D"/>
    <w:rsid w:val="005B4A6C"/>
    <w:rsid w:val="005B6572"/>
    <w:rsid w:val="005C3DE1"/>
    <w:rsid w:val="005C50F7"/>
    <w:rsid w:val="005C5300"/>
    <w:rsid w:val="005D72D1"/>
    <w:rsid w:val="005E2F97"/>
    <w:rsid w:val="00611ECE"/>
    <w:rsid w:val="00617A01"/>
    <w:rsid w:val="00627FCE"/>
    <w:rsid w:val="006315A2"/>
    <w:rsid w:val="00634633"/>
    <w:rsid w:val="00647D1D"/>
    <w:rsid w:val="00652437"/>
    <w:rsid w:val="006A3993"/>
    <w:rsid w:val="006B6433"/>
    <w:rsid w:val="006B75AF"/>
    <w:rsid w:val="006C35EA"/>
    <w:rsid w:val="006D0FE7"/>
    <w:rsid w:val="006D5C07"/>
    <w:rsid w:val="007034A9"/>
    <w:rsid w:val="007045D0"/>
    <w:rsid w:val="00723021"/>
    <w:rsid w:val="007352CC"/>
    <w:rsid w:val="00735C64"/>
    <w:rsid w:val="00735DA5"/>
    <w:rsid w:val="00742CA4"/>
    <w:rsid w:val="00744457"/>
    <w:rsid w:val="007571DA"/>
    <w:rsid w:val="00763567"/>
    <w:rsid w:val="00794D05"/>
    <w:rsid w:val="007A2B44"/>
    <w:rsid w:val="007C617D"/>
    <w:rsid w:val="007C7D1C"/>
    <w:rsid w:val="007E29A6"/>
    <w:rsid w:val="007E68AF"/>
    <w:rsid w:val="00804D36"/>
    <w:rsid w:val="00810420"/>
    <w:rsid w:val="00835A62"/>
    <w:rsid w:val="00864F04"/>
    <w:rsid w:val="00866BAA"/>
    <w:rsid w:val="008743F7"/>
    <w:rsid w:val="00875F9A"/>
    <w:rsid w:val="00880385"/>
    <w:rsid w:val="008900E7"/>
    <w:rsid w:val="008939EE"/>
    <w:rsid w:val="008A12E4"/>
    <w:rsid w:val="008A3EB4"/>
    <w:rsid w:val="008A416D"/>
    <w:rsid w:val="008A7829"/>
    <w:rsid w:val="008B7015"/>
    <w:rsid w:val="008C2CFA"/>
    <w:rsid w:val="008C7F59"/>
    <w:rsid w:val="008D168F"/>
    <w:rsid w:val="008D2447"/>
    <w:rsid w:val="008E239E"/>
    <w:rsid w:val="008E3363"/>
    <w:rsid w:val="00910022"/>
    <w:rsid w:val="00921930"/>
    <w:rsid w:val="00923F44"/>
    <w:rsid w:val="00931049"/>
    <w:rsid w:val="00941747"/>
    <w:rsid w:val="00943629"/>
    <w:rsid w:val="00951506"/>
    <w:rsid w:val="009547F7"/>
    <w:rsid w:val="009870EB"/>
    <w:rsid w:val="009A4748"/>
    <w:rsid w:val="009B48A7"/>
    <w:rsid w:val="009B70AA"/>
    <w:rsid w:val="009C093C"/>
    <w:rsid w:val="009C6459"/>
    <w:rsid w:val="009D4E34"/>
    <w:rsid w:val="009E6638"/>
    <w:rsid w:val="00A1612F"/>
    <w:rsid w:val="00A20D34"/>
    <w:rsid w:val="00A37AD5"/>
    <w:rsid w:val="00A50BB1"/>
    <w:rsid w:val="00A56D07"/>
    <w:rsid w:val="00A74AA8"/>
    <w:rsid w:val="00A750FC"/>
    <w:rsid w:val="00A82BD2"/>
    <w:rsid w:val="00AA0BD6"/>
    <w:rsid w:val="00AB12D8"/>
    <w:rsid w:val="00AB2FFB"/>
    <w:rsid w:val="00AC5388"/>
    <w:rsid w:val="00B04986"/>
    <w:rsid w:val="00B058C2"/>
    <w:rsid w:val="00B1147C"/>
    <w:rsid w:val="00B3205F"/>
    <w:rsid w:val="00B45A17"/>
    <w:rsid w:val="00B60819"/>
    <w:rsid w:val="00B61B0F"/>
    <w:rsid w:val="00B75716"/>
    <w:rsid w:val="00B76DFD"/>
    <w:rsid w:val="00B92CDC"/>
    <w:rsid w:val="00B95BD1"/>
    <w:rsid w:val="00B97513"/>
    <w:rsid w:val="00BA088E"/>
    <w:rsid w:val="00BA4F52"/>
    <w:rsid w:val="00BB19BE"/>
    <w:rsid w:val="00BB455B"/>
    <w:rsid w:val="00BB5292"/>
    <w:rsid w:val="00BB5595"/>
    <w:rsid w:val="00BC0A3C"/>
    <w:rsid w:val="00C14757"/>
    <w:rsid w:val="00C274DE"/>
    <w:rsid w:val="00C366D6"/>
    <w:rsid w:val="00C47526"/>
    <w:rsid w:val="00C63AB0"/>
    <w:rsid w:val="00C7254E"/>
    <w:rsid w:val="00C7443F"/>
    <w:rsid w:val="00C80F99"/>
    <w:rsid w:val="00C84E48"/>
    <w:rsid w:val="00C87458"/>
    <w:rsid w:val="00C9556E"/>
    <w:rsid w:val="00CD5157"/>
    <w:rsid w:val="00CF0DAA"/>
    <w:rsid w:val="00D040E5"/>
    <w:rsid w:val="00D142DE"/>
    <w:rsid w:val="00D15DC4"/>
    <w:rsid w:val="00D17F66"/>
    <w:rsid w:val="00D27A96"/>
    <w:rsid w:val="00D35C84"/>
    <w:rsid w:val="00D40B22"/>
    <w:rsid w:val="00D43D25"/>
    <w:rsid w:val="00D454C3"/>
    <w:rsid w:val="00D52BFA"/>
    <w:rsid w:val="00D545AA"/>
    <w:rsid w:val="00D90C33"/>
    <w:rsid w:val="00D92C6C"/>
    <w:rsid w:val="00DA40C2"/>
    <w:rsid w:val="00DA5A5C"/>
    <w:rsid w:val="00DA6D7E"/>
    <w:rsid w:val="00DA6DD7"/>
    <w:rsid w:val="00DB01BF"/>
    <w:rsid w:val="00DC3568"/>
    <w:rsid w:val="00DC7A3B"/>
    <w:rsid w:val="00DF67B4"/>
    <w:rsid w:val="00DF747D"/>
    <w:rsid w:val="00E144C0"/>
    <w:rsid w:val="00E338DB"/>
    <w:rsid w:val="00E43EC9"/>
    <w:rsid w:val="00E448C4"/>
    <w:rsid w:val="00E46466"/>
    <w:rsid w:val="00E53C74"/>
    <w:rsid w:val="00E71823"/>
    <w:rsid w:val="00E71C59"/>
    <w:rsid w:val="00E809F3"/>
    <w:rsid w:val="00EA4741"/>
    <w:rsid w:val="00EB49BD"/>
    <w:rsid w:val="00EC0CC6"/>
    <w:rsid w:val="00EC551C"/>
    <w:rsid w:val="00EC668B"/>
    <w:rsid w:val="00ED204B"/>
    <w:rsid w:val="00EE2D20"/>
    <w:rsid w:val="00EF0EFC"/>
    <w:rsid w:val="00EF416C"/>
    <w:rsid w:val="00F23534"/>
    <w:rsid w:val="00F63276"/>
    <w:rsid w:val="00F67D00"/>
    <w:rsid w:val="00F760C8"/>
    <w:rsid w:val="00FA159A"/>
    <w:rsid w:val="00FA6A54"/>
    <w:rsid w:val="00FA6B9C"/>
    <w:rsid w:val="00FA752D"/>
    <w:rsid w:val="00FB1F37"/>
    <w:rsid w:val="00FC4511"/>
    <w:rsid w:val="00FD6160"/>
    <w:rsid w:val="00FF67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FFDA"/>
  <w15:chartTrackingRefBased/>
  <w15:docId w15:val="{03CF86D1-D099-9C4A-99DB-E6E0F3A1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E44"/>
    <w:pPr>
      <w:ind w:left="720"/>
      <w:contextualSpacing/>
    </w:pPr>
  </w:style>
  <w:style w:type="paragraph" w:styleId="Textonotapie">
    <w:name w:val="footnote text"/>
    <w:basedOn w:val="Normal"/>
    <w:link w:val="TextonotapieCar"/>
    <w:uiPriority w:val="99"/>
    <w:semiHidden/>
    <w:unhideWhenUsed/>
    <w:rsid w:val="002643C8"/>
    <w:rPr>
      <w:sz w:val="20"/>
      <w:szCs w:val="20"/>
    </w:rPr>
  </w:style>
  <w:style w:type="character" w:customStyle="1" w:styleId="TextonotapieCar">
    <w:name w:val="Texto nota pie Car"/>
    <w:basedOn w:val="Fuentedeprrafopredeter"/>
    <w:link w:val="Textonotapie"/>
    <w:uiPriority w:val="99"/>
    <w:semiHidden/>
    <w:rsid w:val="002643C8"/>
    <w:rPr>
      <w:sz w:val="20"/>
      <w:szCs w:val="20"/>
    </w:rPr>
  </w:style>
  <w:style w:type="character" w:styleId="Refdenotaalpie">
    <w:name w:val="footnote reference"/>
    <w:basedOn w:val="Fuentedeprrafopredeter"/>
    <w:uiPriority w:val="99"/>
    <w:semiHidden/>
    <w:unhideWhenUsed/>
    <w:rsid w:val="00264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58">
      <w:bodyDiv w:val="1"/>
      <w:marLeft w:val="0"/>
      <w:marRight w:val="0"/>
      <w:marTop w:val="0"/>
      <w:marBottom w:val="0"/>
      <w:divBdr>
        <w:top w:val="none" w:sz="0" w:space="0" w:color="auto"/>
        <w:left w:val="none" w:sz="0" w:space="0" w:color="auto"/>
        <w:bottom w:val="none" w:sz="0" w:space="0" w:color="auto"/>
        <w:right w:val="none" w:sz="0" w:space="0" w:color="auto"/>
      </w:divBdr>
    </w:div>
    <w:div w:id="56244377">
      <w:bodyDiv w:val="1"/>
      <w:marLeft w:val="0"/>
      <w:marRight w:val="0"/>
      <w:marTop w:val="0"/>
      <w:marBottom w:val="0"/>
      <w:divBdr>
        <w:top w:val="none" w:sz="0" w:space="0" w:color="auto"/>
        <w:left w:val="none" w:sz="0" w:space="0" w:color="auto"/>
        <w:bottom w:val="none" w:sz="0" w:space="0" w:color="auto"/>
        <w:right w:val="none" w:sz="0" w:space="0" w:color="auto"/>
      </w:divBdr>
      <w:divsChild>
        <w:div w:id="699207469">
          <w:marLeft w:val="0"/>
          <w:marRight w:val="0"/>
          <w:marTop w:val="100"/>
          <w:marBottom w:val="0"/>
          <w:divBdr>
            <w:top w:val="none" w:sz="0" w:space="0" w:color="auto"/>
            <w:left w:val="none" w:sz="0" w:space="0" w:color="auto"/>
            <w:bottom w:val="none" w:sz="0" w:space="0" w:color="auto"/>
            <w:right w:val="none" w:sz="0" w:space="0" w:color="auto"/>
          </w:divBdr>
          <w:divsChild>
            <w:div w:id="1737701744">
              <w:marLeft w:val="0"/>
              <w:marRight w:val="0"/>
              <w:marTop w:val="60"/>
              <w:marBottom w:val="0"/>
              <w:divBdr>
                <w:top w:val="none" w:sz="0" w:space="0" w:color="auto"/>
                <w:left w:val="none" w:sz="0" w:space="0" w:color="auto"/>
                <w:bottom w:val="none" w:sz="0" w:space="0" w:color="auto"/>
                <w:right w:val="none" w:sz="0" w:space="0" w:color="auto"/>
              </w:divBdr>
            </w:div>
          </w:divsChild>
        </w:div>
        <w:div w:id="1769304953">
          <w:marLeft w:val="0"/>
          <w:marRight w:val="0"/>
          <w:marTop w:val="0"/>
          <w:marBottom w:val="0"/>
          <w:divBdr>
            <w:top w:val="none" w:sz="0" w:space="0" w:color="auto"/>
            <w:left w:val="none" w:sz="0" w:space="0" w:color="auto"/>
            <w:bottom w:val="none" w:sz="0" w:space="0" w:color="auto"/>
            <w:right w:val="none" w:sz="0" w:space="0" w:color="auto"/>
          </w:divBdr>
          <w:divsChild>
            <w:div w:id="1869099641">
              <w:marLeft w:val="0"/>
              <w:marRight w:val="0"/>
              <w:marTop w:val="0"/>
              <w:marBottom w:val="0"/>
              <w:divBdr>
                <w:top w:val="none" w:sz="0" w:space="0" w:color="auto"/>
                <w:left w:val="none" w:sz="0" w:space="0" w:color="auto"/>
                <w:bottom w:val="none" w:sz="0" w:space="0" w:color="auto"/>
                <w:right w:val="none" w:sz="0" w:space="0" w:color="auto"/>
              </w:divBdr>
              <w:divsChild>
                <w:div w:id="9792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6013">
      <w:bodyDiv w:val="1"/>
      <w:marLeft w:val="0"/>
      <w:marRight w:val="0"/>
      <w:marTop w:val="0"/>
      <w:marBottom w:val="0"/>
      <w:divBdr>
        <w:top w:val="none" w:sz="0" w:space="0" w:color="auto"/>
        <w:left w:val="none" w:sz="0" w:space="0" w:color="auto"/>
        <w:bottom w:val="none" w:sz="0" w:space="0" w:color="auto"/>
        <w:right w:val="none" w:sz="0" w:space="0" w:color="auto"/>
      </w:divBdr>
    </w:div>
    <w:div w:id="274289404">
      <w:bodyDiv w:val="1"/>
      <w:marLeft w:val="0"/>
      <w:marRight w:val="0"/>
      <w:marTop w:val="0"/>
      <w:marBottom w:val="0"/>
      <w:divBdr>
        <w:top w:val="none" w:sz="0" w:space="0" w:color="auto"/>
        <w:left w:val="none" w:sz="0" w:space="0" w:color="auto"/>
        <w:bottom w:val="none" w:sz="0" w:space="0" w:color="auto"/>
        <w:right w:val="none" w:sz="0" w:space="0" w:color="auto"/>
      </w:divBdr>
    </w:div>
    <w:div w:id="276644760">
      <w:bodyDiv w:val="1"/>
      <w:marLeft w:val="0"/>
      <w:marRight w:val="0"/>
      <w:marTop w:val="0"/>
      <w:marBottom w:val="0"/>
      <w:divBdr>
        <w:top w:val="none" w:sz="0" w:space="0" w:color="auto"/>
        <w:left w:val="none" w:sz="0" w:space="0" w:color="auto"/>
        <w:bottom w:val="none" w:sz="0" w:space="0" w:color="auto"/>
        <w:right w:val="none" w:sz="0" w:space="0" w:color="auto"/>
      </w:divBdr>
      <w:divsChild>
        <w:div w:id="366218658">
          <w:marLeft w:val="0"/>
          <w:marRight w:val="0"/>
          <w:marTop w:val="100"/>
          <w:marBottom w:val="0"/>
          <w:divBdr>
            <w:top w:val="none" w:sz="0" w:space="0" w:color="auto"/>
            <w:left w:val="none" w:sz="0" w:space="0" w:color="auto"/>
            <w:bottom w:val="none" w:sz="0" w:space="0" w:color="auto"/>
            <w:right w:val="none" w:sz="0" w:space="0" w:color="auto"/>
          </w:divBdr>
          <w:divsChild>
            <w:div w:id="1764952959">
              <w:marLeft w:val="0"/>
              <w:marRight w:val="0"/>
              <w:marTop w:val="60"/>
              <w:marBottom w:val="0"/>
              <w:divBdr>
                <w:top w:val="none" w:sz="0" w:space="0" w:color="auto"/>
                <w:left w:val="none" w:sz="0" w:space="0" w:color="auto"/>
                <w:bottom w:val="none" w:sz="0" w:space="0" w:color="auto"/>
                <w:right w:val="none" w:sz="0" w:space="0" w:color="auto"/>
              </w:divBdr>
            </w:div>
          </w:divsChild>
        </w:div>
        <w:div w:id="109591570">
          <w:marLeft w:val="0"/>
          <w:marRight w:val="0"/>
          <w:marTop w:val="0"/>
          <w:marBottom w:val="0"/>
          <w:divBdr>
            <w:top w:val="none" w:sz="0" w:space="0" w:color="auto"/>
            <w:left w:val="none" w:sz="0" w:space="0" w:color="auto"/>
            <w:bottom w:val="none" w:sz="0" w:space="0" w:color="auto"/>
            <w:right w:val="none" w:sz="0" w:space="0" w:color="auto"/>
          </w:divBdr>
          <w:divsChild>
            <w:div w:id="1365716615">
              <w:marLeft w:val="0"/>
              <w:marRight w:val="0"/>
              <w:marTop w:val="0"/>
              <w:marBottom w:val="0"/>
              <w:divBdr>
                <w:top w:val="none" w:sz="0" w:space="0" w:color="auto"/>
                <w:left w:val="none" w:sz="0" w:space="0" w:color="auto"/>
                <w:bottom w:val="none" w:sz="0" w:space="0" w:color="auto"/>
                <w:right w:val="none" w:sz="0" w:space="0" w:color="auto"/>
              </w:divBdr>
              <w:divsChild>
                <w:div w:id="4330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3022">
      <w:bodyDiv w:val="1"/>
      <w:marLeft w:val="0"/>
      <w:marRight w:val="0"/>
      <w:marTop w:val="0"/>
      <w:marBottom w:val="0"/>
      <w:divBdr>
        <w:top w:val="none" w:sz="0" w:space="0" w:color="auto"/>
        <w:left w:val="none" w:sz="0" w:space="0" w:color="auto"/>
        <w:bottom w:val="none" w:sz="0" w:space="0" w:color="auto"/>
        <w:right w:val="none" w:sz="0" w:space="0" w:color="auto"/>
      </w:divBdr>
    </w:div>
    <w:div w:id="395713266">
      <w:bodyDiv w:val="1"/>
      <w:marLeft w:val="0"/>
      <w:marRight w:val="0"/>
      <w:marTop w:val="0"/>
      <w:marBottom w:val="0"/>
      <w:divBdr>
        <w:top w:val="none" w:sz="0" w:space="0" w:color="auto"/>
        <w:left w:val="none" w:sz="0" w:space="0" w:color="auto"/>
        <w:bottom w:val="none" w:sz="0" w:space="0" w:color="auto"/>
        <w:right w:val="none" w:sz="0" w:space="0" w:color="auto"/>
      </w:divBdr>
    </w:div>
    <w:div w:id="501966704">
      <w:bodyDiv w:val="1"/>
      <w:marLeft w:val="0"/>
      <w:marRight w:val="0"/>
      <w:marTop w:val="0"/>
      <w:marBottom w:val="0"/>
      <w:divBdr>
        <w:top w:val="none" w:sz="0" w:space="0" w:color="auto"/>
        <w:left w:val="none" w:sz="0" w:space="0" w:color="auto"/>
        <w:bottom w:val="none" w:sz="0" w:space="0" w:color="auto"/>
        <w:right w:val="none" w:sz="0" w:space="0" w:color="auto"/>
      </w:divBdr>
      <w:divsChild>
        <w:div w:id="1100685644">
          <w:marLeft w:val="0"/>
          <w:marRight w:val="0"/>
          <w:marTop w:val="100"/>
          <w:marBottom w:val="0"/>
          <w:divBdr>
            <w:top w:val="none" w:sz="0" w:space="0" w:color="auto"/>
            <w:left w:val="none" w:sz="0" w:space="0" w:color="auto"/>
            <w:bottom w:val="none" w:sz="0" w:space="0" w:color="auto"/>
            <w:right w:val="none" w:sz="0" w:space="0" w:color="auto"/>
          </w:divBdr>
          <w:divsChild>
            <w:div w:id="896935740">
              <w:marLeft w:val="0"/>
              <w:marRight w:val="0"/>
              <w:marTop w:val="60"/>
              <w:marBottom w:val="0"/>
              <w:divBdr>
                <w:top w:val="none" w:sz="0" w:space="0" w:color="auto"/>
                <w:left w:val="none" w:sz="0" w:space="0" w:color="auto"/>
                <w:bottom w:val="none" w:sz="0" w:space="0" w:color="auto"/>
                <w:right w:val="none" w:sz="0" w:space="0" w:color="auto"/>
              </w:divBdr>
            </w:div>
          </w:divsChild>
        </w:div>
        <w:div w:id="667829467">
          <w:marLeft w:val="0"/>
          <w:marRight w:val="0"/>
          <w:marTop w:val="0"/>
          <w:marBottom w:val="0"/>
          <w:divBdr>
            <w:top w:val="none" w:sz="0" w:space="0" w:color="auto"/>
            <w:left w:val="none" w:sz="0" w:space="0" w:color="auto"/>
            <w:bottom w:val="none" w:sz="0" w:space="0" w:color="auto"/>
            <w:right w:val="none" w:sz="0" w:space="0" w:color="auto"/>
          </w:divBdr>
          <w:divsChild>
            <w:div w:id="1956597817">
              <w:marLeft w:val="0"/>
              <w:marRight w:val="0"/>
              <w:marTop w:val="0"/>
              <w:marBottom w:val="0"/>
              <w:divBdr>
                <w:top w:val="none" w:sz="0" w:space="0" w:color="auto"/>
                <w:left w:val="none" w:sz="0" w:space="0" w:color="auto"/>
                <w:bottom w:val="none" w:sz="0" w:space="0" w:color="auto"/>
                <w:right w:val="none" w:sz="0" w:space="0" w:color="auto"/>
              </w:divBdr>
              <w:divsChild>
                <w:div w:id="21372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44599">
      <w:bodyDiv w:val="1"/>
      <w:marLeft w:val="0"/>
      <w:marRight w:val="0"/>
      <w:marTop w:val="0"/>
      <w:marBottom w:val="0"/>
      <w:divBdr>
        <w:top w:val="none" w:sz="0" w:space="0" w:color="auto"/>
        <w:left w:val="none" w:sz="0" w:space="0" w:color="auto"/>
        <w:bottom w:val="none" w:sz="0" w:space="0" w:color="auto"/>
        <w:right w:val="none" w:sz="0" w:space="0" w:color="auto"/>
      </w:divBdr>
    </w:div>
    <w:div w:id="927348537">
      <w:bodyDiv w:val="1"/>
      <w:marLeft w:val="0"/>
      <w:marRight w:val="0"/>
      <w:marTop w:val="0"/>
      <w:marBottom w:val="0"/>
      <w:divBdr>
        <w:top w:val="none" w:sz="0" w:space="0" w:color="auto"/>
        <w:left w:val="none" w:sz="0" w:space="0" w:color="auto"/>
        <w:bottom w:val="none" w:sz="0" w:space="0" w:color="auto"/>
        <w:right w:val="none" w:sz="0" w:space="0" w:color="auto"/>
      </w:divBdr>
    </w:div>
    <w:div w:id="1121994532">
      <w:bodyDiv w:val="1"/>
      <w:marLeft w:val="0"/>
      <w:marRight w:val="0"/>
      <w:marTop w:val="0"/>
      <w:marBottom w:val="0"/>
      <w:divBdr>
        <w:top w:val="none" w:sz="0" w:space="0" w:color="auto"/>
        <w:left w:val="none" w:sz="0" w:space="0" w:color="auto"/>
        <w:bottom w:val="none" w:sz="0" w:space="0" w:color="auto"/>
        <w:right w:val="none" w:sz="0" w:space="0" w:color="auto"/>
      </w:divBdr>
    </w:div>
    <w:div w:id="1209147878">
      <w:bodyDiv w:val="1"/>
      <w:marLeft w:val="0"/>
      <w:marRight w:val="0"/>
      <w:marTop w:val="0"/>
      <w:marBottom w:val="0"/>
      <w:divBdr>
        <w:top w:val="none" w:sz="0" w:space="0" w:color="auto"/>
        <w:left w:val="none" w:sz="0" w:space="0" w:color="auto"/>
        <w:bottom w:val="none" w:sz="0" w:space="0" w:color="auto"/>
        <w:right w:val="none" w:sz="0" w:space="0" w:color="auto"/>
      </w:divBdr>
      <w:divsChild>
        <w:div w:id="1413817731">
          <w:marLeft w:val="0"/>
          <w:marRight w:val="0"/>
          <w:marTop w:val="100"/>
          <w:marBottom w:val="0"/>
          <w:divBdr>
            <w:top w:val="none" w:sz="0" w:space="0" w:color="auto"/>
            <w:left w:val="none" w:sz="0" w:space="0" w:color="auto"/>
            <w:bottom w:val="none" w:sz="0" w:space="0" w:color="auto"/>
            <w:right w:val="none" w:sz="0" w:space="0" w:color="auto"/>
          </w:divBdr>
          <w:divsChild>
            <w:div w:id="159006630">
              <w:marLeft w:val="0"/>
              <w:marRight w:val="0"/>
              <w:marTop w:val="60"/>
              <w:marBottom w:val="0"/>
              <w:divBdr>
                <w:top w:val="none" w:sz="0" w:space="0" w:color="auto"/>
                <w:left w:val="none" w:sz="0" w:space="0" w:color="auto"/>
                <w:bottom w:val="none" w:sz="0" w:space="0" w:color="auto"/>
                <w:right w:val="none" w:sz="0" w:space="0" w:color="auto"/>
              </w:divBdr>
            </w:div>
          </w:divsChild>
        </w:div>
        <w:div w:id="905147378">
          <w:marLeft w:val="0"/>
          <w:marRight w:val="0"/>
          <w:marTop w:val="0"/>
          <w:marBottom w:val="0"/>
          <w:divBdr>
            <w:top w:val="none" w:sz="0" w:space="0" w:color="auto"/>
            <w:left w:val="none" w:sz="0" w:space="0" w:color="auto"/>
            <w:bottom w:val="none" w:sz="0" w:space="0" w:color="auto"/>
            <w:right w:val="none" w:sz="0" w:space="0" w:color="auto"/>
          </w:divBdr>
          <w:divsChild>
            <w:div w:id="1194535150">
              <w:marLeft w:val="0"/>
              <w:marRight w:val="0"/>
              <w:marTop w:val="0"/>
              <w:marBottom w:val="0"/>
              <w:divBdr>
                <w:top w:val="none" w:sz="0" w:space="0" w:color="auto"/>
                <w:left w:val="none" w:sz="0" w:space="0" w:color="auto"/>
                <w:bottom w:val="none" w:sz="0" w:space="0" w:color="auto"/>
                <w:right w:val="none" w:sz="0" w:space="0" w:color="auto"/>
              </w:divBdr>
              <w:divsChild>
                <w:div w:id="4442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61858">
      <w:bodyDiv w:val="1"/>
      <w:marLeft w:val="0"/>
      <w:marRight w:val="0"/>
      <w:marTop w:val="0"/>
      <w:marBottom w:val="0"/>
      <w:divBdr>
        <w:top w:val="none" w:sz="0" w:space="0" w:color="auto"/>
        <w:left w:val="none" w:sz="0" w:space="0" w:color="auto"/>
        <w:bottom w:val="none" w:sz="0" w:space="0" w:color="auto"/>
        <w:right w:val="none" w:sz="0" w:space="0" w:color="auto"/>
      </w:divBdr>
    </w:div>
    <w:div w:id="1537507004">
      <w:bodyDiv w:val="1"/>
      <w:marLeft w:val="0"/>
      <w:marRight w:val="0"/>
      <w:marTop w:val="0"/>
      <w:marBottom w:val="0"/>
      <w:divBdr>
        <w:top w:val="none" w:sz="0" w:space="0" w:color="auto"/>
        <w:left w:val="none" w:sz="0" w:space="0" w:color="auto"/>
        <w:bottom w:val="none" w:sz="0" w:space="0" w:color="auto"/>
        <w:right w:val="none" w:sz="0" w:space="0" w:color="auto"/>
      </w:divBdr>
    </w:div>
    <w:div w:id="1596789380">
      <w:bodyDiv w:val="1"/>
      <w:marLeft w:val="0"/>
      <w:marRight w:val="0"/>
      <w:marTop w:val="0"/>
      <w:marBottom w:val="0"/>
      <w:divBdr>
        <w:top w:val="none" w:sz="0" w:space="0" w:color="auto"/>
        <w:left w:val="none" w:sz="0" w:space="0" w:color="auto"/>
        <w:bottom w:val="none" w:sz="0" w:space="0" w:color="auto"/>
        <w:right w:val="none" w:sz="0" w:space="0" w:color="auto"/>
      </w:divBdr>
      <w:divsChild>
        <w:div w:id="1527869605">
          <w:marLeft w:val="0"/>
          <w:marRight w:val="0"/>
          <w:marTop w:val="100"/>
          <w:marBottom w:val="0"/>
          <w:divBdr>
            <w:top w:val="none" w:sz="0" w:space="0" w:color="auto"/>
            <w:left w:val="none" w:sz="0" w:space="0" w:color="auto"/>
            <w:bottom w:val="none" w:sz="0" w:space="0" w:color="auto"/>
            <w:right w:val="none" w:sz="0" w:space="0" w:color="auto"/>
          </w:divBdr>
          <w:divsChild>
            <w:div w:id="1459375442">
              <w:marLeft w:val="0"/>
              <w:marRight w:val="0"/>
              <w:marTop w:val="60"/>
              <w:marBottom w:val="0"/>
              <w:divBdr>
                <w:top w:val="none" w:sz="0" w:space="0" w:color="auto"/>
                <w:left w:val="none" w:sz="0" w:space="0" w:color="auto"/>
                <w:bottom w:val="none" w:sz="0" w:space="0" w:color="auto"/>
                <w:right w:val="none" w:sz="0" w:space="0" w:color="auto"/>
              </w:divBdr>
            </w:div>
          </w:divsChild>
        </w:div>
        <w:div w:id="952128026">
          <w:marLeft w:val="0"/>
          <w:marRight w:val="0"/>
          <w:marTop w:val="0"/>
          <w:marBottom w:val="0"/>
          <w:divBdr>
            <w:top w:val="none" w:sz="0" w:space="0" w:color="auto"/>
            <w:left w:val="none" w:sz="0" w:space="0" w:color="auto"/>
            <w:bottom w:val="none" w:sz="0" w:space="0" w:color="auto"/>
            <w:right w:val="none" w:sz="0" w:space="0" w:color="auto"/>
          </w:divBdr>
          <w:divsChild>
            <w:div w:id="226495420">
              <w:marLeft w:val="0"/>
              <w:marRight w:val="0"/>
              <w:marTop w:val="0"/>
              <w:marBottom w:val="0"/>
              <w:divBdr>
                <w:top w:val="none" w:sz="0" w:space="0" w:color="auto"/>
                <w:left w:val="none" w:sz="0" w:space="0" w:color="auto"/>
                <w:bottom w:val="none" w:sz="0" w:space="0" w:color="auto"/>
                <w:right w:val="none" w:sz="0" w:space="0" w:color="auto"/>
              </w:divBdr>
              <w:divsChild>
                <w:div w:id="5285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5359">
      <w:bodyDiv w:val="1"/>
      <w:marLeft w:val="0"/>
      <w:marRight w:val="0"/>
      <w:marTop w:val="0"/>
      <w:marBottom w:val="0"/>
      <w:divBdr>
        <w:top w:val="none" w:sz="0" w:space="0" w:color="auto"/>
        <w:left w:val="none" w:sz="0" w:space="0" w:color="auto"/>
        <w:bottom w:val="none" w:sz="0" w:space="0" w:color="auto"/>
        <w:right w:val="none" w:sz="0" w:space="0" w:color="auto"/>
      </w:divBdr>
    </w:div>
    <w:div w:id="1906597306">
      <w:bodyDiv w:val="1"/>
      <w:marLeft w:val="0"/>
      <w:marRight w:val="0"/>
      <w:marTop w:val="0"/>
      <w:marBottom w:val="0"/>
      <w:divBdr>
        <w:top w:val="none" w:sz="0" w:space="0" w:color="auto"/>
        <w:left w:val="none" w:sz="0" w:space="0" w:color="auto"/>
        <w:bottom w:val="none" w:sz="0" w:space="0" w:color="auto"/>
        <w:right w:val="none" w:sz="0" w:space="0" w:color="auto"/>
      </w:divBdr>
    </w:div>
    <w:div w:id="1946840749">
      <w:bodyDiv w:val="1"/>
      <w:marLeft w:val="0"/>
      <w:marRight w:val="0"/>
      <w:marTop w:val="0"/>
      <w:marBottom w:val="0"/>
      <w:divBdr>
        <w:top w:val="none" w:sz="0" w:space="0" w:color="auto"/>
        <w:left w:val="none" w:sz="0" w:space="0" w:color="auto"/>
        <w:bottom w:val="none" w:sz="0" w:space="0" w:color="auto"/>
        <w:right w:val="none" w:sz="0" w:space="0" w:color="auto"/>
      </w:divBdr>
    </w:div>
    <w:div w:id="20169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9F90-8870-4B45-89AD-469B0FF5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4292</Words>
  <Characters>23612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Rosa Mendoza Rosales</dc:creator>
  <cp:keywords/>
  <dc:description/>
  <cp:lastModifiedBy>Microsoft Office User</cp:lastModifiedBy>
  <cp:revision>2</cp:revision>
  <dcterms:created xsi:type="dcterms:W3CDTF">2021-05-18T18:25:00Z</dcterms:created>
  <dcterms:modified xsi:type="dcterms:W3CDTF">2021-05-18T18:25:00Z</dcterms:modified>
</cp:coreProperties>
</file>