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8851B" w14:textId="77777777" w:rsidR="00C31601" w:rsidRPr="009E31A5" w:rsidRDefault="00C31601" w:rsidP="00C31601">
      <w:pPr>
        <w:jc w:val="center"/>
        <w:rPr>
          <w:rFonts w:ascii="Arial" w:hAnsi="Arial" w:cs="Arial"/>
          <w:b/>
          <w:bCs/>
        </w:rPr>
      </w:pPr>
    </w:p>
    <w:p w14:paraId="6FB0FCF6" w14:textId="109F0611" w:rsidR="00D41237" w:rsidRPr="009E31A5" w:rsidRDefault="00D41237" w:rsidP="00C31601">
      <w:pPr>
        <w:jc w:val="center"/>
        <w:rPr>
          <w:rFonts w:ascii="Arial" w:hAnsi="Arial" w:cs="Arial"/>
          <w:b/>
          <w:bCs/>
        </w:rPr>
      </w:pPr>
      <w:r w:rsidRPr="009E31A5">
        <w:rPr>
          <w:rFonts w:ascii="Arial" w:hAnsi="Arial" w:cs="Arial"/>
          <w:b/>
          <w:bCs/>
        </w:rPr>
        <w:t>DIRECCIÓN DE CONTROL INTERNO</w:t>
      </w:r>
    </w:p>
    <w:p w14:paraId="35A92207" w14:textId="348B488D" w:rsidR="00D41237" w:rsidRPr="009E31A5" w:rsidRDefault="00D41237" w:rsidP="00C31601">
      <w:pPr>
        <w:jc w:val="center"/>
        <w:rPr>
          <w:rFonts w:ascii="Arial" w:hAnsi="Arial" w:cs="Arial"/>
          <w:b/>
          <w:bCs/>
        </w:rPr>
      </w:pPr>
    </w:p>
    <w:p w14:paraId="5E6B132D" w14:textId="4CCB89E7" w:rsidR="00D41237" w:rsidRPr="009E31A5" w:rsidRDefault="00D41237" w:rsidP="00C31601">
      <w:pPr>
        <w:jc w:val="center"/>
        <w:rPr>
          <w:rFonts w:ascii="Arial" w:hAnsi="Arial" w:cs="Arial"/>
          <w:b/>
          <w:bCs/>
        </w:rPr>
      </w:pPr>
    </w:p>
    <w:p w14:paraId="288C46B8" w14:textId="2881CC4C" w:rsidR="00D41237" w:rsidRPr="009E31A5" w:rsidRDefault="00D41237" w:rsidP="00C31601">
      <w:pPr>
        <w:rPr>
          <w:rFonts w:ascii="Arial" w:hAnsi="Arial" w:cs="Arial"/>
          <w:b/>
          <w:bCs/>
        </w:rPr>
      </w:pPr>
    </w:p>
    <w:p w14:paraId="16875614" w14:textId="77777777" w:rsidR="00D41237" w:rsidRPr="009E31A5" w:rsidRDefault="00D41237" w:rsidP="00C31601">
      <w:pPr>
        <w:jc w:val="center"/>
        <w:rPr>
          <w:rFonts w:ascii="Arial" w:hAnsi="Arial" w:cs="Arial"/>
          <w:b/>
          <w:bCs/>
        </w:rPr>
      </w:pPr>
    </w:p>
    <w:p w14:paraId="3DB50489" w14:textId="647BC2A6" w:rsidR="00D41237" w:rsidRPr="009E31A5" w:rsidRDefault="00D41237" w:rsidP="00C31601">
      <w:pPr>
        <w:jc w:val="center"/>
        <w:rPr>
          <w:rFonts w:ascii="Arial" w:hAnsi="Arial" w:cs="Arial"/>
          <w:b/>
          <w:bCs/>
        </w:rPr>
      </w:pPr>
    </w:p>
    <w:p w14:paraId="7AE7540F" w14:textId="1790CA06" w:rsidR="00D41237" w:rsidRPr="009E31A5" w:rsidRDefault="00D41237" w:rsidP="00C31601">
      <w:pPr>
        <w:jc w:val="center"/>
        <w:rPr>
          <w:rFonts w:ascii="Arial" w:hAnsi="Arial" w:cs="Arial"/>
          <w:b/>
          <w:bCs/>
        </w:rPr>
      </w:pPr>
    </w:p>
    <w:p w14:paraId="28A30459" w14:textId="24D728DD" w:rsidR="00D41237" w:rsidRPr="009E31A5" w:rsidRDefault="00D41237" w:rsidP="00C31601">
      <w:pPr>
        <w:jc w:val="center"/>
        <w:rPr>
          <w:rFonts w:ascii="Arial" w:hAnsi="Arial" w:cs="Arial"/>
          <w:b/>
          <w:bCs/>
        </w:rPr>
      </w:pPr>
    </w:p>
    <w:p w14:paraId="6D4767C5" w14:textId="77777777" w:rsidR="00C31601" w:rsidRPr="009E31A5" w:rsidRDefault="00C31601" w:rsidP="00C31601">
      <w:pPr>
        <w:jc w:val="center"/>
        <w:rPr>
          <w:rFonts w:ascii="Arial" w:hAnsi="Arial" w:cs="Arial"/>
          <w:b/>
          <w:bCs/>
        </w:rPr>
      </w:pPr>
    </w:p>
    <w:p w14:paraId="13D7271A" w14:textId="61B204E2" w:rsidR="00D41237" w:rsidRPr="009E31A5" w:rsidRDefault="00D41237" w:rsidP="00C31601">
      <w:pPr>
        <w:jc w:val="center"/>
        <w:rPr>
          <w:rFonts w:ascii="Arial" w:hAnsi="Arial" w:cs="Arial"/>
          <w:b/>
          <w:bCs/>
        </w:rPr>
      </w:pPr>
    </w:p>
    <w:p w14:paraId="05723217" w14:textId="08F8439F" w:rsidR="00C31601" w:rsidRPr="009E31A5" w:rsidRDefault="00C31601" w:rsidP="00C31601">
      <w:pPr>
        <w:jc w:val="center"/>
        <w:rPr>
          <w:rFonts w:ascii="Arial" w:hAnsi="Arial" w:cs="Arial"/>
          <w:b/>
          <w:bCs/>
        </w:rPr>
      </w:pPr>
    </w:p>
    <w:p w14:paraId="3746E522" w14:textId="35D10FEF" w:rsidR="00C31601" w:rsidRPr="009E31A5" w:rsidRDefault="00C31601" w:rsidP="00C31601">
      <w:pPr>
        <w:jc w:val="center"/>
        <w:rPr>
          <w:rFonts w:ascii="Arial" w:hAnsi="Arial" w:cs="Arial"/>
          <w:b/>
          <w:bCs/>
        </w:rPr>
      </w:pPr>
    </w:p>
    <w:p w14:paraId="305D21B6" w14:textId="7FE30D71" w:rsidR="00C31601" w:rsidRPr="009E31A5" w:rsidRDefault="00C31601" w:rsidP="00C31601">
      <w:pPr>
        <w:jc w:val="center"/>
        <w:rPr>
          <w:rFonts w:ascii="Arial" w:hAnsi="Arial" w:cs="Arial"/>
          <w:b/>
          <w:bCs/>
        </w:rPr>
      </w:pPr>
    </w:p>
    <w:p w14:paraId="4487AF72" w14:textId="24628AF2" w:rsidR="00C31601" w:rsidRPr="009E31A5" w:rsidRDefault="00C31601" w:rsidP="00C31601">
      <w:pPr>
        <w:jc w:val="center"/>
        <w:rPr>
          <w:rFonts w:ascii="Arial" w:hAnsi="Arial" w:cs="Arial"/>
          <w:b/>
          <w:bCs/>
        </w:rPr>
      </w:pPr>
    </w:p>
    <w:p w14:paraId="73793A48" w14:textId="77777777" w:rsidR="00C31601" w:rsidRPr="009E31A5" w:rsidRDefault="00C31601" w:rsidP="00C31601">
      <w:pPr>
        <w:jc w:val="center"/>
        <w:rPr>
          <w:rFonts w:ascii="Arial" w:hAnsi="Arial" w:cs="Arial"/>
          <w:b/>
          <w:bCs/>
        </w:rPr>
      </w:pPr>
    </w:p>
    <w:p w14:paraId="6A85F1A8" w14:textId="77777777" w:rsidR="00D41237" w:rsidRPr="009E31A5" w:rsidRDefault="00D41237" w:rsidP="00C31601">
      <w:pPr>
        <w:jc w:val="center"/>
        <w:rPr>
          <w:rFonts w:ascii="Arial" w:hAnsi="Arial" w:cs="Arial"/>
        </w:rPr>
      </w:pPr>
    </w:p>
    <w:p w14:paraId="252356E1" w14:textId="77777777" w:rsidR="00D41237" w:rsidRPr="009E31A5" w:rsidRDefault="00D41237" w:rsidP="00C31601">
      <w:pPr>
        <w:jc w:val="center"/>
        <w:rPr>
          <w:rFonts w:ascii="Arial" w:hAnsi="Arial" w:cs="Arial"/>
          <w:b/>
          <w:bCs/>
        </w:rPr>
      </w:pPr>
      <w:r w:rsidRPr="009E31A5">
        <w:rPr>
          <w:rFonts w:ascii="Arial" w:hAnsi="Arial" w:cs="Arial"/>
          <w:b/>
          <w:bCs/>
        </w:rPr>
        <w:t>INFORME CONSOLIDADO DEL SEGUIMIENTO REALIZADO A LOS PLANES DE MEJORAMIENTO SUSCRITOS CON LA CONTRALORÍA GENERAL DE LA REPÚBLICA – CGR</w:t>
      </w:r>
    </w:p>
    <w:p w14:paraId="6060E9A1" w14:textId="4EF37986" w:rsidR="00D41237" w:rsidRPr="009E31A5" w:rsidRDefault="00D41237" w:rsidP="00C31601">
      <w:pPr>
        <w:jc w:val="center"/>
        <w:rPr>
          <w:rFonts w:ascii="Arial" w:hAnsi="Arial" w:cs="Arial"/>
          <w:b/>
          <w:bCs/>
        </w:rPr>
      </w:pPr>
      <w:r w:rsidRPr="009E31A5">
        <w:rPr>
          <w:rFonts w:ascii="Arial" w:hAnsi="Arial" w:cs="Arial"/>
          <w:b/>
          <w:bCs/>
        </w:rPr>
        <w:t xml:space="preserve">CORTE DEL </w:t>
      </w:r>
      <w:r w:rsidR="00CB6A01" w:rsidRPr="009E31A5">
        <w:rPr>
          <w:rFonts w:ascii="Arial" w:hAnsi="Arial" w:cs="Arial"/>
          <w:b/>
          <w:bCs/>
        </w:rPr>
        <w:t>3</w:t>
      </w:r>
      <w:r w:rsidR="00055862">
        <w:rPr>
          <w:rFonts w:ascii="Arial" w:hAnsi="Arial" w:cs="Arial"/>
          <w:b/>
          <w:bCs/>
        </w:rPr>
        <w:t>0</w:t>
      </w:r>
      <w:r w:rsidR="00B82DFA" w:rsidRPr="009E31A5">
        <w:rPr>
          <w:rFonts w:ascii="Arial" w:hAnsi="Arial" w:cs="Arial"/>
          <w:b/>
          <w:bCs/>
        </w:rPr>
        <w:t xml:space="preserve"> DE </w:t>
      </w:r>
      <w:r w:rsidR="00055862">
        <w:rPr>
          <w:rFonts w:ascii="Arial" w:hAnsi="Arial" w:cs="Arial"/>
          <w:b/>
          <w:bCs/>
        </w:rPr>
        <w:t xml:space="preserve">JUNIO </w:t>
      </w:r>
      <w:r w:rsidR="00B82DFA" w:rsidRPr="009E31A5">
        <w:rPr>
          <w:rFonts w:ascii="Arial" w:hAnsi="Arial" w:cs="Arial"/>
          <w:b/>
          <w:bCs/>
        </w:rPr>
        <w:t>DE 202</w:t>
      </w:r>
      <w:r w:rsidR="00055862">
        <w:rPr>
          <w:rFonts w:ascii="Arial" w:hAnsi="Arial" w:cs="Arial"/>
          <w:b/>
          <w:bCs/>
        </w:rPr>
        <w:t>3</w:t>
      </w:r>
    </w:p>
    <w:p w14:paraId="03614F76" w14:textId="47320370" w:rsidR="00D41237" w:rsidRPr="009E31A5" w:rsidRDefault="00D41237" w:rsidP="00C31601">
      <w:pPr>
        <w:jc w:val="center"/>
        <w:rPr>
          <w:rFonts w:ascii="Arial" w:hAnsi="Arial" w:cs="Arial"/>
          <w:b/>
          <w:bCs/>
        </w:rPr>
      </w:pPr>
    </w:p>
    <w:p w14:paraId="64BAAD0B" w14:textId="688D7947" w:rsidR="00D41237" w:rsidRPr="009E31A5" w:rsidRDefault="00D41237" w:rsidP="00C31601">
      <w:pPr>
        <w:jc w:val="center"/>
        <w:rPr>
          <w:rFonts w:ascii="Arial" w:hAnsi="Arial" w:cs="Arial"/>
          <w:b/>
          <w:bCs/>
        </w:rPr>
      </w:pPr>
    </w:p>
    <w:p w14:paraId="1672836B" w14:textId="4228658E" w:rsidR="00D41237" w:rsidRPr="009E31A5" w:rsidRDefault="00D41237" w:rsidP="00C31601">
      <w:pPr>
        <w:jc w:val="center"/>
        <w:rPr>
          <w:rFonts w:ascii="Arial" w:hAnsi="Arial" w:cs="Arial"/>
          <w:b/>
          <w:bCs/>
        </w:rPr>
      </w:pPr>
    </w:p>
    <w:p w14:paraId="22CCCF94" w14:textId="26443630" w:rsidR="00D41237" w:rsidRPr="009E31A5" w:rsidRDefault="00D41237" w:rsidP="00C31601">
      <w:pPr>
        <w:jc w:val="center"/>
        <w:rPr>
          <w:rFonts w:ascii="Arial" w:hAnsi="Arial" w:cs="Arial"/>
          <w:b/>
          <w:bCs/>
        </w:rPr>
      </w:pPr>
    </w:p>
    <w:p w14:paraId="66589F05" w14:textId="70D96857" w:rsidR="00D41237" w:rsidRPr="009E31A5" w:rsidRDefault="00D41237" w:rsidP="00C31601">
      <w:pPr>
        <w:jc w:val="center"/>
        <w:rPr>
          <w:rFonts w:ascii="Arial" w:hAnsi="Arial" w:cs="Arial"/>
          <w:b/>
          <w:bCs/>
        </w:rPr>
      </w:pPr>
    </w:p>
    <w:p w14:paraId="4F74FE0F" w14:textId="49E34A47" w:rsidR="00C31601" w:rsidRPr="009E31A5" w:rsidRDefault="00C31601" w:rsidP="00C31601">
      <w:pPr>
        <w:rPr>
          <w:rFonts w:ascii="Arial" w:hAnsi="Arial" w:cs="Arial"/>
        </w:rPr>
      </w:pPr>
    </w:p>
    <w:p w14:paraId="2FA570A4" w14:textId="77777777" w:rsidR="008C28E7" w:rsidRPr="009E31A5" w:rsidRDefault="008C28E7" w:rsidP="00C31601">
      <w:pPr>
        <w:rPr>
          <w:rFonts w:ascii="Arial" w:hAnsi="Arial" w:cs="Arial"/>
        </w:rPr>
      </w:pPr>
    </w:p>
    <w:p w14:paraId="70133DEB" w14:textId="2D3B4381" w:rsidR="00C31601" w:rsidRPr="009E31A5" w:rsidRDefault="00C31601" w:rsidP="00C31601">
      <w:pPr>
        <w:rPr>
          <w:rFonts w:ascii="Arial" w:hAnsi="Arial" w:cs="Arial"/>
        </w:rPr>
      </w:pPr>
    </w:p>
    <w:p w14:paraId="55996B54" w14:textId="79B74995" w:rsidR="00C31601" w:rsidRPr="009E31A5" w:rsidRDefault="00C31601" w:rsidP="00C31601">
      <w:pPr>
        <w:rPr>
          <w:rFonts w:ascii="Arial" w:hAnsi="Arial" w:cs="Arial"/>
        </w:rPr>
      </w:pPr>
    </w:p>
    <w:p w14:paraId="078ED1B1" w14:textId="0D0F30D2" w:rsidR="00C31601" w:rsidRPr="009E31A5" w:rsidRDefault="00C31601" w:rsidP="00C31601">
      <w:pPr>
        <w:rPr>
          <w:rFonts w:ascii="Arial" w:hAnsi="Arial" w:cs="Arial"/>
        </w:rPr>
      </w:pPr>
    </w:p>
    <w:p w14:paraId="1AD0A0A3" w14:textId="50AF5778" w:rsidR="00C31601" w:rsidRPr="009E31A5" w:rsidRDefault="00C31601" w:rsidP="00C31601">
      <w:pPr>
        <w:rPr>
          <w:rFonts w:ascii="Arial" w:hAnsi="Arial" w:cs="Arial"/>
        </w:rPr>
      </w:pPr>
    </w:p>
    <w:p w14:paraId="71BB70A8" w14:textId="3EDDC39C" w:rsidR="00C31601" w:rsidRPr="009E31A5" w:rsidRDefault="00C31601" w:rsidP="00C31601">
      <w:pPr>
        <w:rPr>
          <w:rFonts w:ascii="Arial" w:hAnsi="Arial" w:cs="Arial"/>
        </w:rPr>
      </w:pPr>
    </w:p>
    <w:p w14:paraId="5CA604C6" w14:textId="6811F63F" w:rsidR="00C31601" w:rsidRPr="009E31A5" w:rsidRDefault="00C31601" w:rsidP="00C31601">
      <w:pPr>
        <w:rPr>
          <w:rFonts w:ascii="Arial" w:hAnsi="Arial" w:cs="Arial"/>
        </w:rPr>
      </w:pPr>
    </w:p>
    <w:p w14:paraId="1420B252" w14:textId="4565A8B0" w:rsidR="00C31601" w:rsidRPr="009E31A5" w:rsidRDefault="00C31601" w:rsidP="00C31601">
      <w:pPr>
        <w:rPr>
          <w:rFonts w:ascii="Arial" w:hAnsi="Arial" w:cs="Arial"/>
        </w:rPr>
      </w:pPr>
    </w:p>
    <w:p w14:paraId="68054AEA" w14:textId="2E17F130" w:rsidR="00C31601" w:rsidRPr="009E31A5" w:rsidRDefault="00C31601" w:rsidP="00C31601">
      <w:pPr>
        <w:rPr>
          <w:rFonts w:ascii="Arial" w:hAnsi="Arial" w:cs="Arial"/>
        </w:rPr>
      </w:pPr>
    </w:p>
    <w:p w14:paraId="678C93C7" w14:textId="77777777" w:rsidR="00C31601" w:rsidRPr="009E31A5" w:rsidRDefault="00C31601" w:rsidP="00C31601">
      <w:pPr>
        <w:rPr>
          <w:rFonts w:ascii="Arial" w:hAnsi="Arial" w:cs="Arial"/>
        </w:rPr>
      </w:pPr>
    </w:p>
    <w:p w14:paraId="40614F35" w14:textId="77777777" w:rsidR="00943F31" w:rsidRDefault="00943F31" w:rsidP="00C31601">
      <w:pPr>
        <w:jc w:val="center"/>
        <w:rPr>
          <w:rFonts w:ascii="Arial" w:hAnsi="Arial" w:cs="Arial"/>
          <w:b/>
          <w:bCs/>
        </w:rPr>
      </w:pPr>
    </w:p>
    <w:p w14:paraId="5AFEC176" w14:textId="77777777" w:rsidR="00943F31" w:rsidRDefault="00943F31" w:rsidP="00C31601">
      <w:pPr>
        <w:jc w:val="center"/>
        <w:rPr>
          <w:rFonts w:ascii="Arial" w:hAnsi="Arial" w:cs="Arial"/>
          <w:b/>
          <w:bCs/>
        </w:rPr>
      </w:pPr>
    </w:p>
    <w:p w14:paraId="43A55110" w14:textId="67C93BB8" w:rsidR="00D41237" w:rsidRPr="009E31A5" w:rsidRDefault="00A5176F" w:rsidP="00C31601">
      <w:pPr>
        <w:jc w:val="center"/>
        <w:rPr>
          <w:rFonts w:ascii="Arial" w:hAnsi="Arial" w:cs="Arial"/>
          <w:b/>
          <w:bCs/>
        </w:rPr>
      </w:pPr>
      <w:r w:rsidRPr="009E31A5">
        <w:rPr>
          <w:rFonts w:ascii="Arial" w:hAnsi="Arial" w:cs="Arial"/>
          <w:b/>
          <w:bCs/>
        </w:rPr>
        <w:t>Bogotá</w:t>
      </w:r>
      <w:r w:rsidR="00D41237" w:rsidRPr="009E31A5">
        <w:rPr>
          <w:rFonts w:ascii="Arial" w:hAnsi="Arial" w:cs="Arial"/>
          <w:b/>
          <w:bCs/>
        </w:rPr>
        <w:t>́, D.C.,</w:t>
      </w:r>
      <w:r w:rsidR="00CB6A01" w:rsidRPr="009E31A5">
        <w:rPr>
          <w:rFonts w:ascii="Arial" w:hAnsi="Arial" w:cs="Arial"/>
          <w:b/>
          <w:bCs/>
        </w:rPr>
        <w:t xml:space="preserve"> </w:t>
      </w:r>
      <w:r w:rsidR="00055862">
        <w:rPr>
          <w:rFonts w:ascii="Arial" w:hAnsi="Arial" w:cs="Arial"/>
          <w:b/>
          <w:bCs/>
        </w:rPr>
        <w:t>Julio</w:t>
      </w:r>
      <w:r w:rsidR="00D41237" w:rsidRPr="009E31A5">
        <w:rPr>
          <w:rFonts w:ascii="Arial" w:hAnsi="Arial" w:cs="Arial"/>
          <w:b/>
          <w:bCs/>
        </w:rPr>
        <w:t xml:space="preserve"> de 202</w:t>
      </w:r>
      <w:r w:rsidR="00B82DFA" w:rsidRPr="009E31A5">
        <w:rPr>
          <w:rFonts w:ascii="Arial" w:hAnsi="Arial" w:cs="Arial"/>
          <w:b/>
          <w:bCs/>
        </w:rPr>
        <w:t>3</w:t>
      </w:r>
    </w:p>
    <w:p w14:paraId="69B22D1F" w14:textId="170E353A" w:rsidR="00D41237" w:rsidRPr="009E31A5" w:rsidRDefault="00D41237" w:rsidP="00C31601">
      <w:pPr>
        <w:tabs>
          <w:tab w:val="left" w:pos="4907"/>
        </w:tabs>
        <w:rPr>
          <w:rFonts w:ascii="Arial" w:hAnsi="Arial" w:cs="Arial"/>
          <w:b/>
          <w:bCs/>
        </w:rPr>
      </w:pPr>
    </w:p>
    <w:p w14:paraId="171CB62F" w14:textId="4385E0D2" w:rsidR="00C31601" w:rsidRPr="009E31A5" w:rsidRDefault="00C31601" w:rsidP="00C31601">
      <w:pPr>
        <w:tabs>
          <w:tab w:val="left" w:pos="4907"/>
        </w:tabs>
        <w:rPr>
          <w:rFonts w:ascii="Arial" w:hAnsi="Arial" w:cs="Arial"/>
          <w:b/>
          <w:bCs/>
        </w:rPr>
      </w:pPr>
    </w:p>
    <w:p w14:paraId="020EB787" w14:textId="09A3645A" w:rsidR="00C31601" w:rsidRPr="009E31A5" w:rsidRDefault="00C31601" w:rsidP="00C31601">
      <w:pPr>
        <w:tabs>
          <w:tab w:val="left" w:pos="4907"/>
        </w:tabs>
        <w:rPr>
          <w:rFonts w:ascii="Arial" w:hAnsi="Arial" w:cs="Arial"/>
          <w:b/>
          <w:bCs/>
        </w:rPr>
      </w:pPr>
    </w:p>
    <w:p w14:paraId="58B84427" w14:textId="440C18BA" w:rsidR="002D6E0A" w:rsidRPr="009E31A5" w:rsidRDefault="00D41237" w:rsidP="00C31601">
      <w:pPr>
        <w:contextualSpacing/>
        <w:jc w:val="center"/>
        <w:rPr>
          <w:rFonts w:ascii="Arial" w:hAnsi="Arial" w:cs="Arial"/>
          <w:b/>
          <w:bCs/>
          <w:sz w:val="22"/>
          <w:szCs w:val="22"/>
        </w:rPr>
      </w:pPr>
      <w:r w:rsidRPr="009E31A5">
        <w:rPr>
          <w:rFonts w:ascii="Arial" w:hAnsi="Arial" w:cs="Arial"/>
          <w:b/>
          <w:bCs/>
          <w:sz w:val="22"/>
          <w:szCs w:val="22"/>
        </w:rPr>
        <w:lastRenderedPageBreak/>
        <w:t xml:space="preserve">Informe del Seguimiento a los Planes de Mejoramiento </w:t>
      </w:r>
    </w:p>
    <w:p w14:paraId="78CDDF38" w14:textId="621DA1C1" w:rsidR="002D6E0A" w:rsidRPr="009E31A5" w:rsidRDefault="00055862" w:rsidP="00C31601">
      <w:pPr>
        <w:contextualSpacing/>
        <w:jc w:val="center"/>
        <w:rPr>
          <w:rFonts w:ascii="Arial" w:hAnsi="Arial" w:cs="Arial"/>
          <w:b/>
          <w:bCs/>
          <w:sz w:val="22"/>
          <w:szCs w:val="22"/>
        </w:rPr>
      </w:pPr>
      <w:r>
        <w:rPr>
          <w:rFonts w:ascii="Arial" w:hAnsi="Arial" w:cs="Arial"/>
          <w:b/>
          <w:bCs/>
          <w:sz w:val="22"/>
          <w:szCs w:val="22"/>
        </w:rPr>
        <w:t>Primer</w:t>
      </w:r>
      <w:r w:rsidR="00D41237" w:rsidRPr="009E31A5">
        <w:rPr>
          <w:rFonts w:ascii="Arial" w:hAnsi="Arial" w:cs="Arial"/>
          <w:b/>
          <w:bCs/>
          <w:sz w:val="22"/>
          <w:szCs w:val="22"/>
        </w:rPr>
        <w:t xml:space="preserve"> Semestre 202</w:t>
      </w:r>
      <w:r>
        <w:rPr>
          <w:rFonts w:ascii="Arial" w:hAnsi="Arial" w:cs="Arial"/>
          <w:b/>
          <w:bCs/>
          <w:sz w:val="22"/>
          <w:szCs w:val="22"/>
        </w:rPr>
        <w:t>3</w:t>
      </w:r>
    </w:p>
    <w:p w14:paraId="7F9BE44C" w14:textId="77777777" w:rsidR="008C28E7" w:rsidRPr="009E31A5" w:rsidRDefault="008C28E7" w:rsidP="00C31601">
      <w:pPr>
        <w:jc w:val="both"/>
        <w:rPr>
          <w:rFonts w:ascii="Arial" w:eastAsia="Times New Roman" w:hAnsi="Arial" w:cs="Arial"/>
          <w:sz w:val="22"/>
          <w:szCs w:val="22"/>
          <w:lang w:eastAsia="es-ES_tradnl"/>
        </w:rPr>
      </w:pPr>
    </w:p>
    <w:p w14:paraId="20B6118B" w14:textId="4286418A" w:rsidR="00D41237" w:rsidRPr="009E31A5" w:rsidRDefault="00D41237" w:rsidP="00C31601">
      <w:pPr>
        <w:jc w:val="both"/>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t xml:space="preserve">Este informe presenta el resultado del seguimiento a los planes de mejoramiento suscritos por la </w:t>
      </w:r>
      <w:r w:rsidRPr="00A301D0">
        <w:rPr>
          <w:rFonts w:ascii="Arial" w:eastAsia="Times New Roman" w:hAnsi="Arial" w:cs="Arial"/>
          <w:sz w:val="22"/>
          <w:szCs w:val="22"/>
          <w:lang w:eastAsia="es-ES_tradnl"/>
        </w:rPr>
        <w:t>F</w:t>
      </w:r>
      <w:r w:rsidR="001F7B46" w:rsidRPr="00A301D0">
        <w:rPr>
          <w:rFonts w:ascii="Arial" w:eastAsia="Times New Roman" w:hAnsi="Arial" w:cs="Arial"/>
          <w:sz w:val="22"/>
          <w:szCs w:val="22"/>
          <w:lang w:eastAsia="es-ES_tradnl"/>
        </w:rPr>
        <w:t xml:space="preserve">iscalía </w:t>
      </w:r>
      <w:r w:rsidRPr="00A301D0">
        <w:rPr>
          <w:rFonts w:ascii="Arial" w:eastAsia="Times New Roman" w:hAnsi="Arial" w:cs="Arial"/>
          <w:sz w:val="22"/>
          <w:szCs w:val="22"/>
          <w:lang w:eastAsia="es-ES_tradnl"/>
        </w:rPr>
        <w:t>G</w:t>
      </w:r>
      <w:r w:rsidR="001F7B46" w:rsidRPr="00A301D0">
        <w:rPr>
          <w:rFonts w:ascii="Arial" w:eastAsia="Times New Roman" w:hAnsi="Arial" w:cs="Arial"/>
          <w:sz w:val="22"/>
          <w:szCs w:val="22"/>
          <w:lang w:eastAsia="es-ES_tradnl"/>
        </w:rPr>
        <w:t xml:space="preserve">eneral de la </w:t>
      </w:r>
      <w:r w:rsidRPr="00A301D0">
        <w:rPr>
          <w:rFonts w:ascii="Arial" w:eastAsia="Times New Roman" w:hAnsi="Arial" w:cs="Arial"/>
          <w:sz w:val="22"/>
          <w:szCs w:val="22"/>
          <w:lang w:eastAsia="es-ES_tradnl"/>
        </w:rPr>
        <w:t>N</w:t>
      </w:r>
      <w:r w:rsidR="001F7B46" w:rsidRPr="00A301D0">
        <w:rPr>
          <w:rFonts w:ascii="Arial" w:eastAsia="Times New Roman" w:hAnsi="Arial" w:cs="Arial"/>
          <w:sz w:val="22"/>
          <w:szCs w:val="22"/>
          <w:lang w:eastAsia="es-ES_tradnl"/>
        </w:rPr>
        <w:t>ación - FGN</w:t>
      </w:r>
      <w:r w:rsidRPr="00A301D0">
        <w:rPr>
          <w:rFonts w:ascii="Arial" w:eastAsia="Times New Roman" w:hAnsi="Arial" w:cs="Arial"/>
          <w:sz w:val="22"/>
          <w:szCs w:val="22"/>
          <w:lang w:eastAsia="es-ES_tradnl"/>
        </w:rPr>
        <w:t xml:space="preserve"> con la</w:t>
      </w:r>
      <w:r w:rsidR="001F7B46" w:rsidRPr="00A301D0">
        <w:rPr>
          <w:rFonts w:ascii="Arial" w:eastAsia="Times New Roman" w:hAnsi="Arial" w:cs="Arial"/>
          <w:sz w:val="22"/>
          <w:szCs w:val="22"/>
          <w:lang w:eastAsia="es-ES_tradnl"/>
        </w:rPr>
        <w:t xml:space="preserve"> Contraloría General de la Republica</w:t>
      </w:r>
      <w:r w:rsidR="001F7B46" w:rsidRPr="009E31A5">
        <w:rPr>
          <w:rFonts w:ascii="Arial" w:eastAsia="Times New Roman" w:hAnsi="Arial" w:cs="Arial"/>
          <w:sz w:val="22"/>
          <w:szCs w:val="22"/>
          <w:lang w:eastAsia="es-ES_tradnl"/>
        </w:rPr>
        <w:t xml:space="preserve"> </w:t>
      </w:r>
      <w:r w:rsidR="001F7B46">
        <w:rPr>
          <w:rFonts w:ascii="Arial" w:eastAsia="Times New Roman" w:hAnsi="Arial" w:cs="Arial"/>
          <w:sz w:val="22"/>
          <w:szCs w:val="22"/>
          <w:lang w:eastAsia="es-ES_tradnl"/>
        </w:rPr>
        <w:t xml:space="preserve">- </w:t>
      </w:r>
      <w:r w:rsidRPr="009E31A5">
        <w:rPr>
          <w:rFonts w:ascii="Arial" w:eastAsia="Times New Roman" w:hAnsi="Arial" w:cs="Arial"/>
          <w:sz w:val="22"/>
          <w:szCs w:val="22"/>
          <w:lang w:eastAsia="es-ES_tradnl"/>
        </w:rPr>
        <w:t xml:space="preserve">CGR, para el corte </w:t>
      </w:r>
      <w:r w:rsidRPr="00A301D0">
        <w:rPr>
          <w:rFonts w:ascii="Arial" w:eastAsia="Times New Roman" w:hAnsi="Arial" w:cs="Arial"/>
          <w:sz w:val="22"/>
          <w:szCs w:val="22"/>
          <w:lang w:eastAsia="es-ES_tradnl"/>
        </w:rPr>
        <w:t>del 3</w:t>
      </w:r>
      <w:r w:rsidR="00055862" w:rsidRPr="00A301D0">
        <w:rPr>
          <w:rFonts w:ascii="Arial" w:eastAsia="Times New Roman" w:hAnsi="Arial" w:cs="Arial"/>
          <w:sz w:val="22"/>
          <w:szCs w:val="22"/>
          <w:lang w:eastAsia="es-ES_tradnl"/>
        </w:rPr>
        <w:t xml:space="preserve">0 de junio </w:t>
      </w:r>
      <w:r w:rsidRPr="00A301D0">
        <w:rPr>
          <w:rFonts w:ascii="Arial" w:eastAsia="Times New Roman" w:hAnsi="Arial" w:cs="Arial"/>
          <w:sz w:val="22"/>
          <w:szCs w:val="22"/>
          <w:lang w:eastAsia="es-ES_tradnl"/>
        </w:rPr>
        <w:t>de 202</w:t>
      </w:r>
      <w:r w:rsidR="00055862" w:rsidRPr="00A301D0">
        <w:rPr>
          <w:rFonts w:ascii="Arial" w:eastAsia="Times New Roman" w:hAnsi="Arial" w:cs="Arial"/>
          <w:sz w:val="22"/>
          <w:szCs w:val="22"/>
          <w:lang w:eastAsia="es-ES_tradnl"/>
        </w:rPr>
        <w:t>3</w:t>
      </w:r>
      <w:r w:rsidR="001F7B46" w:rsidRPr="00A301D0">
        <w:rPr>
          <w:rFonts w:ascii="Arial" w:eastAsia="Times New Roman" w:hAnsi="Arial" w:cs="Arial"/>
          <w:sz w:val="22"/>
          <w:szCs w:val="22"/>
          <w:lang w:eastAsia="es-ES_tradnl"/>
        </w:rPr>
        <w:t>,</w:t>
      </w:r>
      <w:r w:rsidRPr="009E31A5">
        <w:rPr>
          <w:rFonts w:ascii="Arial" w:eastAsia="Times New Roman" w:hAnsi="Arial" w:cs="Arial"/>
          <w:sz w:val="22"/>
          <w:szCs w:val="22"/>
          <w:lang w:eastAsia="es-ES_tradnl"/>
        </w:rPr>
        <w:t xml:space="preserve"> de conformidad con lo establecido por la CGR en la </w:t>
      </w:r>
      <w:r w:rsidR="00A5176F" w:rsidRPr="009E31A5">
        <w:rPr>
          <w:rFonts w:ascii="Arial" w:eastAsia="Times New Roman" w:hAnsi="Arial" w:cs="Arial"/>
          <w:sz w:val="22"/>
          <w:szCs w:val="22"/>
          <w:lang w:eastAsia="es-ES_tradnl"/>
        </w:rPr>
        <w:t>Resolución</w:t>
      </w:r>
      <w:r w:rsidRPr="009E31A5">
        <w:rPr>
          <w:rFonts w:ascii="Arial" w:eastAsia="Times New Roman" w:hAnsi="Arial" w:cs="Arial"/>
          <w:sz w:val="22"/>
          <w:szCs w:val="22"/>
          <w:lang w:eastAsia="es-ES_tradnl"/>
        </w:rPr>
        <w:t xml:space="preserve"> </w:t>
      </w:r>
      <w:r w:rsidR="00AB1C15" w:rsidRPr="009E31A5">
        <w:rPr>
          <w:rFonts w:ascii="Arial" w:eastAsia="Times New Roman" w:hAnsi="Arial" w:cs="Arial"/>
          <w:sz w:val="22"/>
          <w:szCs w:val="22"/>
          <w:lang w:eastAsia="es-ES_tradnl"/>
        </w:rPr>
        <w:t xml:space="preserve">Reglamentaria </w:t>
      </w:r>
      <w:r w:rsidR="00A5176F" w:rsidRPr="009E31A5">
        <w:rPr>
          <w:rFonts w:ascii="Arial" w:eastAsia="Times New Roman" w:hAnsi="Arial" w:cs="Arial"/>
          <w:sz w:val="22"/>
          <w:szCs w:val="22"/>
          <w:lang w:eastAsia="es-ES_tradnl"/>
        </w:rPr>
        <w:t>Orgánica</w:t>
      </w:r>
      <w:r w:rsidRPr="009E31A5">
        <w:rPr>
          <w:rFonts w:ascii="Arial" w:eastAsia="Times New Roman" w:hAnsi="Arial" w:cs="Arial"/>
          <w:sz w:val="22"/>
          <w:szCs w:val="22"/>
          <w:lang w:eastAsia="es-ES_tradnl"/>
        </w:rPr>
        <w:t xml:space="preserve"> </w:t>
      </w:r>
      <w:r w:rsidR="002D6E0A" w:rsidRPr="009E31A5">
        <w:rPr>
          <w:rFonts w:ascii="Arial" w:eastAsia="Times New Roman" w:hAnsi="Arial" w:cs="Arial"/>
          <w:sz w:val="22"/>
          <w:szCs w:val="22"/>
          <w:lang w:eastAsia="es-ES_tradnl"/>
        </w:rPr>
        <w:t>042 del 25 de agosto de 2020, “</w:t>
      </w:r>
      <w:r w:rsidR="002D6E0A" w:rsidRPr="001F7B46">
        <w:rPr>
          <w:rFonts w:ascii="Arial" w:eastAsia="Times New Roman" w:hAnsi="Arial" w:cs="Arial"/>
          <w:i/>
          <w:iCs/>
          <w:sz w:val="22"/>
          <w:szCs w:val="22"/>
          <w:lang w:eastAsia="es-ES_tradnl"/>
        </w:rPr>
        <w:t>Por la cual se reglamenta la rendición electrónica de la cuenta, los informes y otra información que realizan los sujetos de vigilancia y control fiscal a la Contraloría General de la República a través del Sistema de Rendición Electrónico de la Cuenta e Informes y Otra Información (SIRECI)</w:t>
      </w:r>
      <w:r w:rsidR="002D6E0A" w:rsidRPr="009E31A5">
        <w:rPr>
          <w:rFonts w:ascii="Arial" w:eastAsia="Times New Roman" w:hAnsi="Arial" w:cs="Arial"/>
          <w:sz w:val="22"/>
          <w:szCs w:val="22"/>
          <w:lang w:eastAsia="es-ES_tradnl"/>
        </w:rPr>
        <w:t>”</w:t>
      </w:r>
      <w:r w:rsidRPr="009E31A5">
        <w:rPr>
          <w:rFonts w:ascii="Arial" w:eastAsia="Times New Roman" w:hAnsi="Arial" w:cs="Arial"/>
          <w:sz w:val="22"/>
          <w:szCs w:val="22"/>
          <w:lang w:eastAsia="es-ES_tradnl"/>
        </w:rPr>
        <w:t xml:space="preserve">, </w:t>
      </w:r>
      <w:r w:rsidR="00A5176F" w:rsidRPr="009E31A5">
        <w:rPr>
          <w:rFonts w:ascii="Arial" w:eastAsia="Times New Roman" w:hAnsi="Arial" w:cs="Arial"/>
          <w:sz w:val="22"/>
          <w:szCs w:val="22"/>
          <w:lang w:eastAsia="es-ES_tradnl"/>
        </w:rPr>
        <w:t>así</w:t>
      </w:r>
      <w:r w:rsidRPr="009E31A5">
        <w:rPr>
          <w:rFonts w:ascii="Arial" w:eastAsia="Times New Roman" w:hAnsi="Arial" w:cs="Arial"/>
          <w:sz w:val="22"/>
          <w:szCs w:val="22"/>
          <w:lang w:eastAsia="es-ES_tradnl"/>
        </w:rPr>
        <w:t xml:space="preserve">́ como lo </w:t>
      </w:r>
      <w:r w:rsidR="00A5176F" w:rsidRPr="009E31A5">
        <w:rPr>
          <w:rFonts w:ascii="Arial" w:eastAsia="Times New Roman" w:hAnsi="Arial" w:cs="Arial"/>
          <w:sz w:val="22"/>
          <w:szCs w:val="22"/>
          <w:lang w:eastAsia="es-ES_tradnl"/>
        </w:rPr>
        <w:t>señalado</w:t>
      </w:r>
      <w:r w:rsidRPr="009E31A5">
        <w:rPr>
          <w:rFonts w:ascii="Arial" w:eastAsia="Times New Roman" w:hAnsi="Arial" w:cs="Arial"/>
          <w:sz w:val="22"/>
          <w:szCs w:val="22"/>
          <w:lang w:eastAsia="es-ES_tradnl"/>
        </w:rPr>
        <w:t xml:space="preserve"> por la FGN, en el numeral 14, del </w:t>
      </w:r>
      <w:r w:rsidR="00A5176F" w:rsidRPr="009E31A5">
        <w:rPr>
          <w:rFonts w:ascii="Arial" w:eastAsia="Times New Roman" w:hAnsi="Arial" w:cs="Arial"/>
          <w:sz w:val="22"/>
          <w:szCs w:val="22"/>
          <w:lang w:eastAsia="es-ES_tradnl"/>
        </w:rPr>
        <w:t xml:space="preserve">artículo </w:t>
      </w:r>
      <w:r w:rsidRPr="009E31A5">
        <w:rPr>
          <w:rFonts w:ascii="Arial" w:eastAsia="Times New Roman" w:hAnsi="Arial" w:cs="Arial"/>
          <w:sz w:val="22"/>
          <w:szCs w:val="22"/>
          <w:lang w:eastAsia="es-ES_tradnl"/>
        </w:rPr>
        <w:t xml:space="preserve">13 del Decreto 016 del 9 de enero de 2014 , en el que se establecen las funciones de la </w:t>
      </w:r>
      <w:r w:rsidR="00970DAB" w:rsidRPr="009E31A5">
        <w:rPr>
          <w:rFonts w:ascii="Arial" w:eastAsia="Times New Roman" w:hAnsi="Arial" w:cs="Arial"/>
          <w:sz w:val="22"/>
          <w:szCs w:val="22"/>
          <w:lang w:eastAsia="es-ES_tradnl"/>
        </w:rPr>
        <w:t>Dirección</w:t>
      </w:r>
      <w:r w:rsidRPr="009E31A5">
        <w:rPr>
          <w:rFonts w:ascii="Arial" w:eastAsia="Times New Roman" w:hAnsi="Arial" w:cs="Arial"/>
          <w:sz w:val="22"/>
          <w:szCs w:val="22"/>
          <w:lang w:eastAsia="es-ES_tradnl"/>
        </w:rPr>
        <w:t xml:space="preserve"> de Control Interno. </w:t>
      </w:r>
    </w:p>
    <w:p w14:paraId="3455C7CA" w14:textId="77777777" w:rsidR="00C31601" w:rsidRPr="009E31A5" w:rsidRDefault="00C31601" w:rsidP="00C31601">
      <w:pPr>
        <w:rPr>
          <w:rFonts w:ascii="Arial" w:eastAsia="Times New Roman" w:hAnsi="Arial" w:cs="Arial"/>
          <w:b/>
          <w:bCs/>
          <w:sz w:val="22"/>
          <w:szCs w:val="22"/>
          <w:lang w:eastAsia="es-ES_tradnl"/>
        </w:rPr>
      </w:pPr>
    </w:p>
    <w:p w14:paraId="03CBBB32" w14:textId="48FFDD1A" w:rsidR="00D41237" w:rsidRPr="009E31A5" w:rsidRDefault="00D41237" w:rsidP="00C31601">
      <w:pPr>
        <w:rPr>
          <w:rFonts w:ascii="Arial" w:eastAsia="Times New Roman" w:hAnsi="Arial" w:cs="Arial"/>
          <w:sz w:val="22"/>
          <w:szCs w:val="22"/>
          <w:lang w:eastAsia="es-ES_tradnl"/>
        </w:rPr>
      </w:pPr>
      <w:r w:rsidRPr="009E31A5">
        <w:rPr>
          <w:rFonts w:ascii="Arial" w:eastAsia="Times New Roman" w:hAnsi="Arial" w:cs="Arial"/>
          <w:b/>
          <w:bCs/>
          <w:sz w:val="22"/>
          <w:szCs w:val="22"/>
          <w:lang w:eastAsia="es-ES_tradnl"/>
        </w:rPr>
        <w:t>1. OBJETIVO</w:t>
      </w:r>
    </w:p>
    <w:p w14:paraId="45D1708A" w14:textId="77777777" w:rsidR="00C31601" w:rsidRPr="009E31A5" w:rsidRDefault="00C31601" w:rsidP="00C31601">
      <w:pPr>
        <w:jc w:val="both"/>
        <w:rPr>
          <w:rFonts w:ascii="Arial" w:eastAsia="Times New Roman" w:hAnsi="Arial" w:cs="Arial"/>
          <w:sz w:val="22"/>
          <w:szCs w:val="22"/>
          <w:lang w:eastAsia="es-ES_tradnl"/>
        </w:rPr>
      </w:pPr>
    </w:p>
    <w:p w14:paraId="39D91B65" w14:textId="0F108B9A" w:rsidR="00D41237" w:rsidRPr="009E31A5" w:rsidRDefault="00D41237" w:rsidP="00C31601">
      <w:pPr>
        <w:jc w:val="both"/>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t xml:space="preserve">De conformidad a las actividades de orden legal que le corresponde adelantar a la </w:t>
      </w:r>
      <w:r w:rsidR="00970DAB" w:rsidRPr="009E31A5">
        <w:rPr>
          <w:rFonts w:ascii="Arial" w:eastAsia="Times New Roman" w:hAnsi="Arial" w:cs="Arial"/>
          <w:sz w:val="22"/>
          <w:szCs w:val="22"/>
          <w:lang w:eastAsia="es-ES_tradnl"/>
        </w:rPr>
        <w:t>Dirección</w:t>
      </w:r>
      <w:r w:rsidRPr="009E31A5">
        <w:rPr>
          <w:rFonts w:ascii="Arial" w:eastAsia="Times New Roman" w:hAnsi="Arial" w:cs="Arial"/>
          <w:sz w:val="22"/>
          <w:szCs w:val="22"/>
          <w:lang w:eastAsia="es-ES_tradnl"/>
        </w:rPr>
        <w:t xml:space="preserve"> de Control Interno, dentro del P</w:t>
      </w:r>
      <w:r w:rsidR="00CB6A01" w:rsidRPr="009E31A5">
        <w:rPr>
          <w:rFonts w:ascii="Arial" w:eastAsia="Times New Roman" w:hAnsi="Arial" w:cs="Arial"/>
          <w:sz w:val="22"/>
          <w:szCs w:val="22"/>
          <w:lang w:eastAsia="es-ES_tradnl"/>
        </w:rPr>
        <w:t>rograma Anual de Auditorías Internas - PRAAI</w:t>
      </w:r>
      <w:r w:rsidR="002D6E0A" w:rsidRPr="009E31A5">
        <w:rPr>
          <w:rFonts w:ascii="Arial" w:eastAsia="Times New Roman" w:hAnsi="Arial" w:cs="Arial"/>
          <w:sz w:val="22"/>
          <w:szCs w:val="22"/>
          <w:lang w:eastAsia="es-ES_tradnl"/>
        </w:rPr>
        <w:t>, para la vigencia 202</w:t>
      </w:r>
      <w:r w:rsidR="00D80181">
        <w:rPr>
          <w:rFonts w:ascii="Arial" w:eastAsia="Times New Roman" w:hAnsi="Arial" w:cs="Arial"/>
          <w:sz w:val="22"/>
          <w:szCs w:val="22"/>
          <w:lang w:eastAsia="es-ES_tradnl"/>
        </w:rPr>
        <w:t>3</w:t>
      </w:r>
      <w:r w:rsidRPr="009E31A5">
        <w:rPr>
          <w:rFonts w:ascii="Arial" w:eastAsia="Times New Roman" w:hAnsi="Arial" w:cs="Arial"/>
          <w:sz w:val="22"/>
          <w:szCs w:val="22"/>
          <w:lang w:eastAsia="es-ES_tradnl"/>
        </w:rPr>
        <w:t xml:space="preserve">, se </w:t>
      </w:r>
      <w:r w:rsidR="00D7733F" w:rsidRPr="009E31A5">
        <w:rPr>
          <w:rFonts w:ascii="Arial" w:eastAsia="Times New Roman" w:hAnsi="Arial" w:cs="Arial"/>
          <w:sz w:val="22"/>
          <w:szCs w:val="22"/>
          <w:lang w:eastAsia="es-ES_tradnl"/>
        </w:rPr>
        <w:t>incluyó</w:t>
      </w:r>
      <w:r w:rsidRPr="009E31A5">
        <w:rPr>
          <w:rFonts w:ascii="Arial" w:eastAsia="Times New Roman" w:hAnsi="Arial" w:cs="Arial"/>
          <w:sz w:val="22"/>
          <w:szCs w:val="22"/>
          <w:lang w:eastAsia="es-ES_tradnl"/>
        </w:rPr>
        <w:t xml:space="preserve"> el seguimiento semestral a los planes de mejoramiento, suscritos con la CGR. </w:t>
      </w:r>
    </w:p>
    <w:p w14:paraId="74625C68" w14:textId="77777777" w:rsidR="00C31601" w:rsidRPr="009E31A5" w:rsidRDefault="00C31601" w:rsidP="00C31601">
      <w:pPr>
        <w:rPr>
          <w:rFonts w:ascii="Arial" w:eastAsia="Times New Roman" w:hAnsi="Arial" w:cs="Arial"/>
          <w:sz w:val="22"/>
          <w:szCs w:val="22"/>
          <w:lang w:eastAsia="es-ES_tradnl"/>
        </w:rPr>
      </w:pPr>
    </w:p>
    <w:p w14:paraId="1E003923" w14:textId="0ED74AEF" w:rsidR="002D6E0A" w:rsidRPr="009E31A5" w:rsidRDefault="00D41237" w:rsidP="00C31601">
      <w:pPr>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t>Para este seguimiento se estableci</w:t>
      </w:r>
      <w:r w:rsidR="002D6E0A" w:rsidRPr="009E31A5">
        <w:rPr>
          <w:rFonts w:ascii="Arial" w:eastAsia="Times New Roman" w:hAnsi="Arial" w:cs="Arial"/>
          <w:sz w:val="22"/>
          <w:szCs w:val="22"/>
          <w:lang w:eastAsia="es-ES_tradnl"/>
        </w:rPr>
        <w:t>ó como objetivo principal</w:t>
      </w:r>
      <w:r w:rsidRPr="009E31A5">
        <w:rPr>
          <w:rFonts w:ascii="Arial" w:eastAsia="Times New Roman" w:hAnsi="Arial" w:cs="Arial"/>
          <w:sz w:val="22"/>
          <w:szCs w:val="22"/>
          <w:lang w:eastAsia="es-ES_tradnl"/>
        </w:rPr>
        <w:t>:</w:t>
      </w:r>
    </w:p>
    <w:p w14:paraId="54C21EEA" w14:textId="77777777" w:rsidR="00C31601" w:rsidRPr="009E31A5" w:rsidRDefault="00C31601" w:rsidP="00C31601">
      <w:pPr>
        <w:jc w:val="both"/>
        <w:rPr>
          <w:rFonts w:ascii="Arial" w:hAnsi="Arial" w:cs="Arial"/>
          <w:sz w:val="22"/>
          <w:szCs w:val="22"/>
        </w:rPr>
      </w:pPr>
    </w:p>
    <w:p w14:paraId="58FCCE4D" w14:textId="1B1866D2" w:rsidR="00D41237" w:rsidRPr="009E31A5" w:rsidRDefault="002D6E0A" w:rsidP="00C31601">
      <w:pPr>
        <w:jc w:val="both"/>
        <w:rPr>
          <w:rFonts w:ascii="Arial" w:eastAsia="Times New Roman" w:hAnsi="Arial" w:cs="Arial"/>
          <w:sz w:val="22"/>
          <w:szCs w:val="22"/>
          <w:lang w:eastAsia="es-ES_tradnl"/>
        </w:rPr>
      </w:pPr>
      <w:r w:rsidRPr="009E31A5">
        <w:rPr>
          <w:rFonts w:ascii="Arial" w:eastAsia="Times New Roman" w:hAnsi="Arial" w:cs="Arial"/>
          <w:sz w:val="22"/>
          <w:szCs w:val="22"/>
          <w:lang w:eastAsia="es-ES_tradnl"/>
        </w:rPr>
        <w:t xml:space="preserve">Realizar seguimiento tanto al cumplimiento y avance de las metas de los Planes de Mejoramiento suscritos por parte de la </w:t>
      </w:r>
      <w:r w:rsidR="00D7733F" w:rsidRPr="009E31A5">
        <w:rPr>
          <w:rFonts w:ascii="Arial" w:eastAsia="Times New Roman" w:hAnsi="Arial" w:cs="Arial"/>
          <w:sz w:val="22"/>
          <w:szCs w:val="22"/>
          <w:lang w:eastAsia="es-ES_tradnl"/>
        </w:rPr>
        <w:t>Fiscalía</w:t>
      </w:r>
      <w:r w:rsidRPr="009E31A5">
        <w:rPr>
          <w:rFonts w:ascii="Arial" w:eastAsia="Times New Roman" w:hAnsi="Arial" w:cs="Arial"/>
          <w:sz w:val="22"/>
          <w:szCs w:val="22"/>
          <w:lang w:eastAsia="es-ES_tradnl"/>
        </w:rPr>
        <w:t xml:space="preserve"> General de la </w:t>
      </w:r>
      <w:r w:rsidR="00D7733F" w:rsidRPr="009E31A5">
        <w:rPr>
          <w:rFonts w:ascii="Arial" w:eastAsia="Times New Roman" w:hAnsi="Arial" w:cs="Arial"/>
          <w:sz w:val="22"/>
          <w:szCs w:val="22"/>
          <w:lang w:eastAsia="es-ES_tradnl"/>
        </w:rPr>
        <w:t>Nación</w:t>
      </w:r>
      <w:r w:rsidRPr="009E31A5">
        <w:rPr>
          <w:rFonts w:ascii="Arial" w:eastAsia="Times New Roman" w:hAnsi="Arial" w:cs="Arial"/>
          <w:sz w:val="22"/>
          <w:szCs w:val="22"/>
          <w:lang w:eastAsia="es-ES_tradnl"/>
        </w:rPr>
        <w:t xml:space="preserve"> – FGN- con la </w:t>
      </w:r>
      <w:r w:rsidR="00D7733F" w:rsidRPr="009E31A5">
        <w:rPr>
          <w:rFonts w:ascii="Arial" w:eastAsia="Times New Roman" w:hAnsi="Arial" w:cs="Arial"/>
          <w:sz w:val="22"/>
          <w:szCs w:val="22"/>
          <w:lang w:eastAsia="es-ES_tradnl"/>
        </w:rPr>
        <w:t>Contraloría</w:t>
      </w:r>
      <w:r w:rsidRPr="009E31A5">
        <w:rPr>
          <w:rFonts w:ascii="Arial" w:eastAsia="Times New Roman" w:hAnsi="Arial" w:cs="Arial"/>
          <w:sz w:val="22"/>
          <w:szCs w:val="22"/>
          <w:lang w:eastAsia="es-ES_tradnl"/>
        </w:rPr>
        <w:t xml:space="preserve"> General de la </w:t>
      </w:r>
      <w:r w:rsidR="00D7733F" w:rsidRPr="009E31A5">
        <w:rPr>
          <w:rFonts w:ascii="Arial" w:eastAsia="Times New Roman" w:hAnsi="Arial" w:cs="Arial"/>
          <w:sz w:val="22"/>
          <w:szCs w:val="22"/>
          <w:lang w:eastAsia="es-ES_tradnl"/>
        </w:rPr>
        <w:t>Republica</w:t>
      </w:r>
      <w:r w:rsidRPr="009E31A5">
        <w:rPr>
          <w:rFonts w:ascii="Arial" w:eastAsia="Times New Roman" w:hAnsi="Arial" w:cs="Arial"/>
          <w:sz w:val="22"/>
          <w:szCs w:val="22"/>
          <w:lang w:eastAsia="es-ES_tradnl"/>
        </w:rPr>
        <w:t xml:space="preserve"> – CGR, como a la efectividad</w:t>
      </w:r>
      <w:r w:rsidRPr="009E31A5">
        <w:rPr>
          <w:rFonts w:ascii="Arial" w:eastAsia="Times New Roman" w:hAnsi="Arial" w:cs="Arial"/>
          <w:sz w:val="22"/>
          <w:szCs w:val="22"/>
          <w:vertAlign w:val="superscript"/>
          <w:lang w:eastAsia="es-ES_tradnl"/>
        </w:rPr>
        <w:footnoteReference w:id="1"/>
      </w:r>
      <w:r w:rsidRPr="009E31A5">
        <w:rPr>
          <w:rFonts w:ascii="Arial" w:eastAsia="Times New Roman" w:hAnsi="Arial" w:cs="Arial"/>
          <w:sz w:val="22"/>
          <w:szCs w:val="22"/>
          <w:lang w:eastAsia="es-ES_tradnl"/>
        </w:rPr>
        <w:t xml:space="preserve"> de las acciones implementadas para dar </w:t>
      </w:r>
      <w:r w:rsidR="00D7733F" w:rsidRPr="009E31A5">
        <w:rPr>
          <w:rFonts w:ascii="Arial" w:eastAsia="Times New Roman" w:hAnsi="Arial" w:cs="Arial"/>
          <w:sz w:val="22"/>
          <w:szCs w:val="22"/>
          <w:lang w:eastAsia="es-ES_tradnl"/>
        </w:rPr>
        <w:t>solución</w:t>
      </w:r>
      <w:r w:rsidRPr="009E31A5">
        <w:rPr>
          <w:rFonts w:ascii="Arial" w:eastAsia="Times New Roman" w:hAnsi="Arial" w:cs="Arial"/>
          <w:sz w:val="22"/>
          <w:szCs w:val="22"/>
          <w:lang w:eastAsia="es-ES_tradnl"/>
        </w:rPr>
        <w:t xml:space="preserve"> a los hallazgos establecidos por el Ente de Control en las </w:t>
      </w:r>
      <w:r w:rsidR="00D7733F" w:rsidRPr="009E31A5">
        <w:rPr>
          <w:rFonts w:ascii="Arial" w:eastAsia="Times New Roman" w:hAnsi="Arial" w:cs="Arial"/>
          <w:sz w:val="22"/>
          <w:szCs w:val="22"/>
          <w:lang w:eastAsia="es-ES_tradnl"/>
        </w:rPr>
        <w:t>auditor</w:t>
      </w:r>
      <w:r w:rsidR="001F7B46">
        <w:rPr>
          <w:rFonts w:ascii="Arial" w:eastAsia="Times New Roman" w:hAnsi="Arial" w:cs="Arial"/>
          <w:sz w:val="22"/>
          <w:szCs w:val="22"/>
          <w:lang w:eastAsia="es-ES_tradnl"/>
        </w:rPr>
        <w:t>í</w:t>
      </w:r>
      <w:r w:rsidR="00D7733F" w:rsidRPr="009E31A5">
        <w:rPr>
          <w:rFonts w:ascii="Arial" w:eastAsia="Times New Roman" w:hAnsi="Arial" w:cs="Arial"/>
          <w:sz w:val="22"/>
          <w:szCs w:val="22"/>
          <w:lang w:eastAsia="es-ES_tradnl"/>
        </w:rPr>
        <w:t>as</w:t>
      </w:r>
      <w:r w:rsidRPr="009E31A5">
        <w:rPr>
          <w:rFonts w:ascii="Arial" w:eastAsia="Times New Roman" w:hAnsi="Arial" w:cs="Arial"/>
          <w:sz w:val="22"/>
          <w:szCs w:val="22"/>
          <w:lang w:eastAsia="es-ES_tradnl"/>
        </w:rPr>
        <w:t xml:space="preserve"> adelantadas a las vigencias 201</w:t>
      </w:r>
      <w:r w:rsidR="00706C95" w:rsidRPr="009E31A5">
        <w:rPr>
          <w:rFonts w:ascii="Arial" w:eastAsia="Times New Roman" w:hAnsi="Arial" w:cs="Arial"/>
          <w:sz w:val="22"/>
          <w:szCs w:val="22"/>
          <w:lang w:eastAsia="es-ES_tradnl"/>
        </w:rPr>
        <w:t>9</w:t>
      </w:r>
      <w:r w:rsidRPr="009E31A5">
        <w:rPr>
          <w:rFonts w:ascii="Arial" w:eastAsia="Times New Roman" w:hAnsi="Arial" w:cs="Arial"/>
          <w:sz w:val="22"/>
          <w:szCs w:val="22"/>
          <w:lang w:eastAsia="es-ES_tradnl"/>
        </w:rPr>
        <w:t xml:space="preserve"> a 20</w:t>
      </w:r>
      <w:r w:rsidR="00AD5754" w:rsidRPr="009E31A5">
        <w:rPr>
          <w:rFonts w:ascii="Arial" w:eastAsia="Times New Roman" w:hAnsi="Arial" w:cs="Arial"/>
          <w:sz w:val="22"/>
          <w:szCs w:val="22"/>
          <w:lang w:eastAsia="es-ES_tradnl"/>
        </w:rPr>
        <w:t>2</w:t>
      </w:r>
      <w:r w:rsidR="00B82DFA" w:rsidRPr="009E31A5">
        <w:rPr>
          <w:rFonts w:ascii="Arial" w:eastAsia="Times New Roman" w:hAnsi="Arial" w:cs="Arial"/>
          <w:sz w:val="22"/>
          <w:szCs w:val="22"/>
          <w:lang w:eastAsia="es-ES_tradnl"/>
        </w:rPr>
        <w:t>1</w:t>
      </w:r>
      <w:r w:rsidRPr="009E31A5">
        <w:rPr>
          <w:rFonts w:ascii="Arial" w:eastAsia="Times New Roman" w:hAnsi="Arial" w:cs="Arial"/>
          <w:sz w:val="22"/>
          <w:szCs w:val="22"/>
          <w:lang w:eastAsia="es-ES_tradnl"/>
        </w:rPr>
        <w:t>.</w:t>
      </w:r>
      <w:r w:rsidR="00D41237" w:rsidRPr="009E31A5">
        <w:rPr>
          <w:rFonts w:ascii="Arial" w:eastAsia="Times New Roman" w:hAnsi="Arial" w:cs="Arial"/>
          <w:sz w:val="22"/>
          <w:szCs w:val="22"/>
          <w:lang w:eastAsia="es-ES_tradnl"/>
        </w:rPr>
        <w:t xml:space="preserve"> </w:t>
      </w:r>
    </w:p>
    <w:p w14:paraId="55937581" w14:textId="77777777" w:rsidR="00C31601" w:rsidRPr="009E31A5" w:rsidRDefault="00C31601" w:rsidP="00C31601">
      <w:pPr>
        <w:rPr>
          <w:rFonts w:ascii="Arial" w:eastAsia="Times New Roman" w:hAnsi="Arial" w:cs="Arial"/>
          <w:b/>
          <w:bCs/>
          <w:sz w:val="22"/>
          <w:szCs w:val="22"/>
          <w:lang w:eastAsia="es-ES_tradnl"/>
        </w:rPr>
      </w:pPr>
    </w:p>
    <w:p w14:paraId="3021CEA6" w14:textId="3628C828" w:rsidR="00D41237" w:rsidRPr="009E31A5" w:rsidRDefault="00D41237" w:rsidP="00C31601">
      <w:pPr>
        <w:rPr>
          <w:rFonts w:ascii="Arial" w:eastAsia="Times New Roman" w:hAnsi="Arial" w:cs="Arial"/>
          <w:sz w:val="22"/>
          <w:szCs w:val="22"/>
          <w:lang w:eastAsia="es-ES_tradnl"/>
        </w:rPr>
      </w:pPr>
      <w:r w:rsidRPr="009E31A5">
        <w:rPr>
          <w:rFonts w:ascii="Arial" w:eastAsia="Times New Roman" w:hAnsi="Arial" w:cs="Arial"/>
          <w:b/>
          <w:bCs/>
          <w:sz w:val="22"/>
          <w:szCs w:val="22"/>
          <w:lang w:eastAsia="es-ES_tradnl"/>
        </w:rPr>
        <w:t xml:space="preserve">2. ALCANCE </w:t>
      </w:r>
    </w:p>
    <w:p w14:paraId="18698052" w14:textId="05CB1990" w:rsidR="00C31601" w:rsidRPr="009E31A5" w:rsidRDefault="00C31601" w:rsidP="00C31601">
      <w:pPr>
        <w:jc w:val="both"/>
        <w:rPr>
          <w:rFonts w:ascii="Arial" w:eastAsia="Times New Roman" w:hAnsi="Arial" w:cs="Arial"/>
          <w:sz w:val="22"/>
          <w:szCs w:val="22"/>
          <w:lang w:eastAsia="es-ES_tradnl"/>
        </w:rPr>
      </w:pPr>
    </w:p>
    <w:p w14:paraId="22BB6468" w14:textId="5CD5CB00" w:rsidR="00D80181" w:rsidRDefault="00CB6A01" w:rsidP="00CB6A01">
      <w:pPr>
        <w:jc w:val="both"/>
        <w:rPr>
          <w:rFonts w:ascii="Arial" w:eastAsia="Times New Roman" w:hAnsi="Arial" w:cs="Arial"/>
          <w:sz w:val="22"/>
          <w:szCs w:val="22"/>
          <w:lang w:eastAsia="es-ES_tradnl"/>
        </w:rPr>
      </w:pPr>
      <w:r w:rsidRPr="00A301D0">
        <w:rPr>
          <w:rFonts w:ascii="Arial" w:eastAsia="Times New Roman" w:hAnsi="Arial" w:cs="Arial"/>
          <w:sz w:val="22"/>
          <w:szCs w:val="22"/>
          <w:lang w:eastAsia="es-ES_tradnl"/>
        </w:rPr>
        <w:t>Para el presente seguimiento se tiene el informe de auditoría financiera</w:t>
      </w:r>
      <w:r w:rsidR="00D80181" w:rsidRPr="00A301D0">
        <w:rPr>
          <w:rFonts w:ascii="Arial" w:eastAsia="Times New Roman" w:hAnsi="Arial" w:cs="Arial"/>
          <w:sz w:val="22"/>
          <w:szCs w:val="22"/>
          <w:lang w:eastAsia="es-ES_tradnl"/>
        </w:rPr>
        <w:t xml:space="preserve"> </w:t>
      </w:r>
      <w:r w:rsidR="00D80181" w:rsidRPr="00A301D0">
        <w:rPr>
          <w:rFonts w:ascii="Arial" w:hAnsi="Arial" w:cs="Arial"/>
          <w:bCs/>
          <w:iCs/>
          <w:color w:val="000000"/>
          <w:sz w:val="20"/>
        </w:rPr>
        <w:t xml:space="preserve">CGR-CDJ No.006 de </w:t>
      </w:r>
      <w:r w:rsidR="00F411A7" w:rsidRPr="00A301D0">
        <w:rPr>
          <w:rFonts w:ascii="Arial" w:hAnsi="Arial" w:cs="Arial"/>
          <w:bCs/>
          <w:iCs/>
          <w:color w:val="000000"/>
          <w:sz w:val="20"/>
        </w:rPr>
        <w:t>m</w:t>
      </w:r>
      <w:r w:rsidR="00D80181" w:rsidRPr="00A301D0">
        <w:rPr>
          <w:rFonts w:ascii="Arial" w:hAnsi="Arial" w:cs="Arial"/>
          <w:bCs/>
          <w:iCs/>
          <w:color w:val="000000"/>
          <w:sz w:val="20"/>
        </w:rPr>
        <w:t>ayo</w:t>
      </w:r>
      <w:r w:rsidR="00D80181">
        <w:rPr>
          <w:rFonts w:ascii="Arial" w:hAnsi="Arial" w:cs="Arial"/>
          <w:bCs/>
          <w:iCs/>
          <w:color w:val="000000"/>
          <w:sz w:val="20"/>
        </w:rPr>
        <w:t xml:space="preserve"> de 2023, </w:t>
      </w:r>
      <w:r w:rsidRPr="009E31A5">
        <w:rPr>
          <w:rFonts w:ascii="Arial" w:eastAsia="Times New Roman" w:hAnsi="Arial" w:cs="Arial"/>
          <w:sz w:val="22"/>
          <w:szCs w:val="22"/>
          <w:lang w:eastAsia="es-ES_tradnl"/>
        </w:rPr>
        <w:t xml:space="preserve">suscrito por la </w:t>
      </w:r>
      <w:r w:rsidR="00623B9D" w:rsidRPr="009E31A5">
        <w:rPr>
          <w:rFonts w:ascii="Arial" w:eastAsia="Times New Roman" w:hAnsi="Arial" w:cs="Arial"/>
          <w:sz w:val="22"/>
          <w:szCs w:val="22"/>
          <w:lang w:eastAsia="es-ES_tradnl"/>
        </w:rPr>
        <w:t xml:space="preserve">Contraloría General de la República, que </w:t>
      </w:r>
      <w:r w:rsidR="00117FDD" w:rsidRPr="009E31A5">
        <w:rPr>
          <w:rFonts w:ascii="Arial" w:eastAsia="Times New Roman" w:hAnsi="Arial" w:cs="Arial"/>
          <w:sz w:val="22"/>
          <w:szCs w:val="22"/>
          <w:lang w:eastAsia="es-ES_tradnl"/>
        </w:rPr>
        <w:t>indic</w:t>
      </w:r>
      <w:r w:rsidR="001B21ED" w:rsidRPr="009E31A5">
        <w:rPr>
          <w:rFonts w:ascii="Arial" w:eastAsia="Times New Roman" w:hAnsi="Arial" w:cs="Arial"/>
          <w:sz w:val="22"/>
          <w:szCs w:val="22"/>
          <w:lang w:eastAsia="es-ES_tradnl"/>
        </w:rPr>
        <w:t>ó</w:t>
      </w:r>
      <w:r w:rsidR="00117FDD" w:rsidRPr="009E31A5">
        <w:rPr>
          <w:rFonts w:ascii="Arial" w:eastAsia="Times New Roman" w:hAnsi="Arial" w:cs="Arial"/>
          <w:sz w:val="22"/>
          <w:szCs w:val="22"/>
          <w:lang w:eastAsia="es-ES_tradnl"/>
        </w:rPr>
        <w:t>:</w:t>
      </w:r>
    </w:p>
    <w:p w14:paraId="617EFAC4" w14:textId="77777777" w:rsidR="00D80181" w:rsidRDefault="00D80181" w:rsidP="00CB6A01">
      <w:pPr>
        <w:jc w:val="both"/>
        <w:rPr>
          <w:rFonts w:ascii="Arial" w:eastAsia="Times New Roman" w:hAnsi="Arial" w:cs="Arial"/>
          <w:sz w:val="22"/>
          <w:szCs w:val="22"/>
          <w:lang w:eastAsia="es-ES_tradnl"/>
        </w:rPr>
      </w:pPr>
    </w:p>
    <w:p w14:paraId="138643FA" w14:textId="65E57974" w:rsidR="00D80181" w:rsidRPr="00D80181" w:rsidRDefault="00D80181" w:rsidP="00D80181">
      <w:pPr>
        <w:jc w:val="both"/>
        <w:rPr>
          <w:rFonts w:ascii="Arial" w:eastAsia="Times New Roman" w:hAnsi="Arial" w:cs="Arial"/>
          <w:i/>
          <w:iCs/>
          <w:sz w:val="20"/>
          <w:szCs w:val="20"/>
          <w:lang w:eastAsia="es-ES_tradnl"/>
        </w:rPr>
      </w:pPr>
      <w:r w:rsidRPr="00D80181">
        <w:rPr>
          <w:rFonts w:ascii="Arial" w:eastAsia="Times New Roman" w:hAnsi="Arial" w:cs="Arial"/>
          <w:i/>
          <w:iCs/>
          <w:sz w:val="20"/>
          <w:szCs w:val="20"/>
          <w:lang w:eastAsia="es-ES_tradnl"/>
        </w:rPr>
        <w:t xml:space="preserve">“…En cumplimiento a la circular No. 05 del 11 de marzo de 2019 de la CGR, se hizo seguimiento al Plan de Mejoramiento con corte a 31 de diciembre de 2022, el cual comprende 29 hallazgos con 104 acciones de mejora, donde se verificó las metas propuestas para emitir pronunciamiento sobre la efectividad de las acciones de mejoramiento planteadas para contrarrestar las causas que dieron origen a los hallazgos financieros, presupuestales, defensa judicial y </w:t>
      </w:r>
      <w:r w:rsidR="00782371" w:rsidRPr="00D80181">
        <w:rPr>
          <w:rFonts w:ascii="Arial" w:eastAsia="Times New Roman" w:hAnsi="Arial" w:cs="Arial"/>
          <w:i/>
          <w:iCs/>
          <w:sz w:val="20"/>
          <w:szCs w:val="20"/>
          <w:lang w:eastAsia="es-ES_tradnl"/>
        </w:rPr>
        <w:t>Tics</w:t>
      </w:r>
      <w:r w:rsidRPr="00D80181">
        <w:rPr>
          <w:rFonts w:ascii="Arial" w:eastAsia="Times New Roman" w:hAnsi="Arial" w:cs="Arial"/>
          <w:i/>
          <w:iCs/>
          <w:sz w:val="20"/>
          <w:szCs w:val="20"/>
          <w:lang w:eastAsia="es-ES_tradnl"/>
        </w:rPr>
        <w:t>.</w:t>
      </w:r>
    </w:p>
    <w:p w14:paraId="636F56B3" w14:textId="77777777" w:rsidR="00D80181" w:rsidRDefault="00D80181" w:rsidP="00D80181">
      <w:pPr>
        <w:jc w:val="both"/>
        <w:rPr>
          <w:rFonts w:ascii="Arial" w:eastAsia="Times New Roman" w:hAnsi="Arial" w:cs="Arial"/>
          <w:sz w:val="22"/>
          <w:szCs w:val="22"/>
          <w:lang w:eastAsia="es-ES_tradnl"/>
        </w:rPr>
      </w:pPr>
    </w:p>
    <w:p w14:paraId="55693039" w14:textId="37F3ACDA" w:rsidR="00D80181" w:rsidRPr="00D80181" w:rsidRDefault="00D80181" w:rsidP="00D80181">
      <w:pPr>
        <w:jc w:val="center"/>
        <w:rPr>
          <w:rFonts w:ascii="Arial" w:hAnsi="Arial" w:cs="Arial"/>
          <w:b/>
          <w:bCs/>
          <w:i/>
          <w:iCs/>
          <w:sz w:val="20"/>
          <w:szCs w:val="20"/>
        </w:rPr>
      </w:pPr>
      <w:r w:rsidRPr="00D80181">
        <w:rPr>
          <w:rFonts w:ascii="Arial" w:hAnsi="Arial" w:cs="Arial"/>
          <w:b/>
          <w:bCs/>
          <w:i/>
          <w:iCs/>
          <w:sz w:val="20"/>
          <w:szCs w:val="20"/>
        </w:rPr>
        <w:t xml:space="preserve">Tabla </w:t>
      </w:r>
      <w:r w:rsidR="00782371" w:rsidRPr="00D80181">
        <w:rPr>
          <w:rFonts w:ascii="Arial" w:hAnsi="Arial" w:cs="Arial"/>
          <w:b/>
          <w:bCs/>
          <w:i/>
          <w:iCs/>
          <w:sz w:val="20"/>
          <w:szCs w:val="20"/>
        </w:rPr>
        <w:t xml:space="preserve">15 </w:t>
      </w:r>
      <w:r w:rsidR="00782371">
        <w:rPr>
          <w:rFonts w:ascii="Arial" w:hAnsi="Arial" w:cs="Arial"/>
          <w:b/>
          <w:bCs/>
          <w:i/>
          <w:iCs/>
          <w:sz w:val="20"/>
          <w:szCs w:val="20"/>
        </w:rPr>
        <w:t>Composición</w:t>
      </w:r>
      <w:r w:rsidRPr="00D80181">
        <w:rPr>
          <w:rFonts w:ascii="Arial" w:hAnsi="Arial" w:cs="Arial"/>
          <w:b/>
          <w:bCs/>
          <w:i/>
          <w:iCs/>
          <w:sz w:val="20"/>
          <w:szCs w:val="20"/>
        </w:rPr>
        <w:t xml:space="preserve"> Seguimiento Plan de Mejoramiento</w:t>
      </w:r>
    </w:p>
    <w:tbl>
      <w:tblPr>
        <w:tblStyle w:val="Tablaconcuadrcula"/>
        <w:tblW w:w="6662" w:type="dxa"/>
        <w:tblInd w:w="988" w:type="dxa"/>
        <w:tblLook w:val="04A0" w:firstRow="1" w:lastRow="0" w:firstColumn="1" w:lastColumn="0" w:noHBand="0" w:noVBand="1"/>
      </w:tblPr>
      <w:tblGrid>
        <w:gridCol w:w="1843"/>
        <w:gridCol w:w="4819"/>
      </w:tblGrid>
      <w:tr w:rsidR="00D80181" w:rsidRPr="00CC1B9F" w14:paraId="16707062" w14:textId="77777777" w:rsidTr="00441178">
        <w:trPr>
          <w:tblHeader/>
        </w:trPr>
        <w:tc>
          <w:tcPr>
            <w:tcW w:w="1843" w:type="dxa"/>
          </w:tcPr>
          <w:p w14:paraId="271BF081" w14:textId="5C8F86EA" w:rsidR="00D80181" w:rsidRPr="00CC1B9F" w:rsidRDefault="00D80181" w:rsidP="00D80181">
            <w:pPr>
              <w:jc w:val="center"/>
              <w:rPr>
                <w:rFonts w:ascii="Arial" w:eastAsia="Times New Roman" w:hAnsi="Arial" w:cs="Arial"/>
                <w:b/>
                <w:bCs/>
                <w:i/>
                <w:iCs/>
                <w:sz w:val="18"/>
                <w:szCs w:val="18"/>
                <w:lang w:eastAsia="es-ES_tradnl"/>
              </w:rPr>
            </w:pPr>
            <w:r w:rsidRPr="00CC1B9F">
              <w:rPr>
                <w:rFonts w:ascii="Arial" w:eastAsia="Times New Roman" w:hAnsi="Arial" w:cs="Arial"/>
                <w:b/>
                <w:bCs/>
                <w:i/>
                <w:iCs/>
                <w:sz w:val="18"/>
                <w:szCs w:val="18"/>
                <w:lang w:eastAsia="es-ES_tradnl"/>
              </w:rPr>
              <w:t>VIGENCIA</w:t>
            </w:r>
          </w:p>
        </w:tc>
        <w:tc>
          <w:tcPr>
            <w:tcW w:w="4819" w:type="dxa"/>
          </w:tcPr>
          <w:p w14:paraId="205921BF" w14:textId="2A206B3D" w:rsidR="00D80181" w:rsidRPr="00CC1B9F" w:rsidRDefault="00D80181" w:rsidP="00D80181">
            <w:pPr>
              <w:jc w:val="center"/>
              <w:rPr>
                <w:rFonts w:ascii="Arial" w:eastAsia="Times New Roman" w:hAnsi="Arial" w:cs="Arial"/>
                <w:b/>
                <w:bCs/>
                <w:i/>
                <w:iCs/>
                <w:sz w:val="18"/>
                <w:szCs w:val="18"/>
                <w:lang w:eastAsia="es-ES_tradnl"/>
              </w:rPr>
            </w:pPr>
            <w:r w:rsidRPr="00CC1B9F">
              <w:rPr>
                <w:rFonts w:ascii="Arial" w:eastAsia="Times New Roman" w:hAnsi="Arial" w:cs="Arial"/>
                <w:b/>
                <w:bCs/>
                <w:i/>
                <w:iCs/>
                <w:sz w:val="18"/>
                <w:szCs w:val="18"/>
                <w:lang w:eastAsia="es-ES_tradnl"/>
              </w:rPr>
              <w:t>No. HALLAZGO</w:t>
            </w:r>
          </w:p>
        </w:tc>
      </w:tr>
      <w:tr w:rsidR="00D80181" w:rsidRPr="00CC1B9F" w14:paraId="00F76B24" w14:textId="77777777" w:rsidTr="00D80181">
        <w:tc>
          <w:tcPr>
            <w:tcW w:w="1843" w:type="dxa"/>
          </w:tcPr>
          <w:p w14:paraId="72942AD4" w14:textId="680AFD8F" w:rsidR="00D80181" w:rsidRPr="00CC1B9F" w:rsidRDefault="00D80181" w:rsidP="00D80181">
            <w:pPr>
              <w:jc w:val="center"/>
              <w:rPr>
                <w:rFonts w:ascii="Arial" w:eastAsia="Times New Roman" w:hAnsi="Arial" w:cs="Arial"/>
                <w:i/>
                <w:iCs/>
                <w:sz w:val="18"/>
                <w:szCs w:val="18"/>
                <w:lang w:eastAsia="es-ES_tradnl"/>
              </w:rPr>
            </w:pPr>
            <w:r w:rsidRPr="00CC1B9F">
              <w:rPr>
                <w:rFonts w:ascii="Arial" w:eastAsia="Times New Roman" w:hAnsi="Arial" w:cs="Arial"/>
                <w:i/>
                <w:iCs/>
                <w:sz w:val="18"/>
                <w:szCs w:val="18"/>
                <w:lang w:eastAsia="es-ES_tradnl"/>
              </w:rPr>
              <w:t>2019</w:t>
            </w:r>
          </w:p>
        </w:tc>
        <w:tc>
          <w:tcPr>
            <w:tcW w:w="4819" w:type="dxa"/>
          </w:tcPr>
          <w:p w14:paraId="4B4A6AFE" w14:textId="6947332C" w:rsidR="00D80181" w:rsidRPr="00CC1B9F" w:rsidRDefault="00D80181" w:rsidP="00441178">
            <w:pPr>
              <w:rPr>
                <w:rFonts w:ascii="Arial" w:eastAsia="Times New Roman" w:hAnsi="Arial" w:cs="Arial"/>
                <w:i/>
                <w:iCs/>
                <w:sz w:val="18"/>
                <w:szCs w:val="18"/>
                <w:lang w:eastAsia="es-ES_tradnl"/>
              </w:rPr>
            </w:pPr>
            <w:r w:rsidRPr="00CC1B9F">
              <w:rPr>
                <w:rFonts w:ascii="Arial" w:hAnsi="Arial" w:cs="Arial"/>
                <w:i/>
                <w:iCs/>
                <w:sz w:val="18"/>
                <w:szCs w:val="18"/>
              </w:rPr>
              <w:t>18, 19, 24, 51, 58, 61, 67, 74, 75, 77, 78, 79 y 82</w:t>
            </w:r>
          </w:p>
        </w:tc>
      </w:tr>
      <w:tr w:rsidR="00D80181" w:rsidRPr="00CC1B9F" w14:paraId="6C8189C3" w14:textId="77777777" w:rsidTr="00D80181">
        <w:tc>
          <w:tcPr>
            <w:tcW w:w="1843" w:type="dxa"/>
          </w:tcPr>
          <w:p w14:paraId="2ED607E4" w14:textId="184D634A" w:rsidR="00D80181" w:rsidRPr="00CC1B9F" w:rsidRDefault="00D80181" w:rsidP="00D80181">
            <w:pPr>
              <w:jc w:val="center"/>
              <w:rPr>
                <w:rFonts w:ascii="Arial" w:eastAsia="Times New Roman" w:hAnsi="Arial" w:cs="Arial"/>
                <w:i/>
                <w:iCs/>
                <w:sz w:val="18"/>
                <w:szCs w:val="18"/>
                <w:lang w:eastAsia="es-ES_tradnl"/>
              </w:rPr>
            </w:pPr>
            <w:r w:rsidRPr="00CC1B9F">
              <w:rPr>
                <w:rFonts w:ascii="Arial" w:eastAsia="Times New Roman" w:hAnsi="Arial" w:cs="Arial"/>
                <w:i/>
                <w:iCs/>
                <w:sz w:val="18"/>
                <w:szCs w:val="18"/>
                <w:lang w:eastAsia="es-ES_tradnl"/>
              </w:rPr>
              <w:lastRenderedPageBreak/>
              <w:t>2020</w:t>
            </w:r>
          </w:p>
        </w:tc>
        <w:tc>
          <w:tcPr>
            <w:tcW w:w="4819" w:type="dxa"/>
          </w:tcPr>
          <w:p w14:paraId="747FF907" w14:textId="7198181E" w:rsidR="00D80181" w:rsidRPr="00CC1B9F" w:rsidRDefault="00D80181" w:rsidP="00441178">
            <w:pPr>
              <w:rPr>
                <w:rFonts w:ascii="Arial" w:eastAsia="Times New Roman" w:hAnsi="Arial" w:cs="Arial"/>
                <w:i/>
                <w:iCs/>
                <w:sz w:val="18"/>
                <w:szCs w:val="18"/>
                <w:lang w:eastAsia="es-ES_tradnl"/>
              </w:rPr>
            </w:pPr>
            <w:r w:rsidRPr="00CC1B9F">
              <w:rPr>
                <w:rFonts w:ascii="Arial" w:hAnsi="Arial" w:cs="Arial"/>
                <w:i/>
                <w:iCs/>
                <w:sz w:val="18"/>
                <w:szCs w:val="18"/>
              </w:rPr>
              <w:t>24, 23, 24, 25, 26, 27, 28, 29, 30, 31, 32, 33, 34, 35, 36, 37, 38, 39, 40 y 41</w:t>
            </w:r>
          </w:p>
        </w:tc>
      </w:tr>
      <w:tr w:rsidR="00D80181" w:rsidRPr="00CC1B9F" w14:paraId="0ABC236A" w14:textId="77777777" w:rsidTr="00D80181">
        <w:tc>
          <w:tcPr>
            <w:tcW w:w="1843" w:type="dxa"/>
          </w:tcPr>
          <w:p w14:paraId="408EE05F" w14:textId="47CF4B3E" w:rsidR="00D80181" w:rsidRPr="00CC1B9F" w:rsidRDefault="00D80181" w:rsidP="00D80181">
            <w:pPr>
              <w:jc w:val="center"/>
              <w:rPr>
                <w:rFonts w:ascii="Arial" w:eastAsia="Times New Roman" w:hAnsi="Arial" w:cs="Arial"/>
                <w:i/>
                <w:iCs/>
                <w:sz w:val="18"/>
                <w:szCs w:val="18"/>
                <w:lang w:eastAsia="es-ES_tradnl"/>
              </w:rPr>
            </w:pPr>
            <w:r w:rsidRPr="00CC1B9F">
              <w:rPr>
                <w:rFonts w:ascii="Arial" w:eastAsia="Times New Roman" w:hAnsi="Arial" w:cs="Arial"/>
                <w:i/>
                <w:iCs/>
                <w:sz w:val="18"/>
                <w:szCs w:val="18"/>
                <w:lang w:eastAsia="es-ES_tradnl"/>
              </w:rPr>
              <w:t>2021</w:t>
            </w:r>
          </w:p>
        </w:tc>
        <w:tc>
          <w:tcPr>
            <w:tcW w:w="4819" w:type="dxa"/>
          </w:tcPr>
          <w:p w14:paraId="43F435AE" w14:textId="7284878F" w:rsidR="00D80181" w:rsidRPr="00CC1B9F" w:rsidRDefault="00D80181" w:rsidP="00441178">
            <w:pPr>
              <w:rPr>
                <w:rFonts w:ascii="Arial" w:eastAsia="Times New Roman" w:hAnsi="Arial" w:cs="Arial"/>
                <w:i/>
                <w:iCs/>
                <w:sz w:val="18"/>
                <w:szCs w:val="18"/>
                <w:lang w:eastAsia="es-ES_tradnl"/>
              </w:rPr>
            </w:pPr>
            <w:r w:rsidRPr="00CC1B9F">
              <w:rPr>
                <w:rFonts w:ascii="Arial" w:hAnsi="Arial" w:cs="Arial"/>
                <w:i/>
                <w:iCs/>
                <w:sz w:val="18"/>
                <w:szCs w:val="18"/>
              </w:rPr>
              <w:t>1, 2, 3, 4, 5, 6, 7, 8, 9, 10,11, 12, 13, 14, 16, 17, 18, 19, 20, 21, 68, 70, 80, 4, 6, 16,</w:t>
            </w:r>
          </w:p>
        </w:tc>
      </w:tr>
      <w:tr w:rsidR="00D80181" w:rsidRPr="00CC1B9F" w14:paraId="6D688BC8" w14:textId="77777777" w:rsidTr="00D80181">
        <w:tc>
          <w:tcPr>
            <w:tcW w:w="1843" w:type="dxa"/>
          </w:tcPr>
          <w:p w14:paraId="6EA74CC2" w14:textId="454AAACB" w:rsidR="00D80181" w:rsidRPr="00CC1B9F" w:rsidRDefault="00D80181" w:rsidP="00D80181">
            <w:pPr>
              <w:jc w:val="center"/>
              <w:rPr>
                <w:rFonts w:ascii="Arial" w:eastAsia="Times New Roman" w:hAnsi="Arial" w:cs="Arial"/>
                <w:i/>
                <w:iCs/>
                <w:sz w:val="18"/>
                <w:szCs w:val="18"/>
                <w:lang w:eastAsia="es-ES_tradnl"/>
              </w:rPr>
            </w:pPr>
            <w:r w:rsidRPr="00CC1B9F">
              <w:rPr>
                <w:rFonts w:ascii="Arial" w:eastAsia="Times New Roman" w:hAnsi="Arial" w:cs="Arial"/>
                <w:i/>
                <w:iCs/>
                <w:sz w:val="18"/>
                <w:szCs w:val="18"/>
                <w:lang w:eastAsia="es-ES_tradnl"/>
              </w:rPr>
              <w:t>2022</w:t>
            </w:r>
          </w:p>
        </w:tc>
        <w:tc>
          <w:tcPr>
            <w:tcW w:w="4819" w:type="dxa"/>
          </w:tcPr>
          <w:p w14:paraId="4C36CD23" w14:textId="2BE6D1C7" w:rsidR="00D80181" w:rsidRPr="00CC1B9F" w:rsidRDefault="00D80181" w:rsidP="00441178">
            <w:pPr>
              <w:rPr>
                <w:rFonts w:ascii="Arial" w:eastAsia="Times New Roman" w:hAnsi="Arial" w:cs="Arial"/>
                <w:i/>
                <w:iCs/>
                <w:sz w:val="18"/>
                <w:szCs w:val="18"/>
                <w:lang w:eastAsia="es-ES_tradnl"/>
              </w:rPr>
            </w:pPr>
            <w:r w:rsidRPr="00CC1B9F">
              <w:rPr>
                <w:rFonts w:ascii="Arial" w:eastAsia="Times New Roman" w:hAnsi="Arial" w:cs="Arial"/>
                <w:i/>
                <w:iCs/>
                <w:sz w:val="18"/>
                <w:szCs w:val="18"/>
                <w:lang w:eastAsia="es-ES_tradnl"/>
              </w:rPr>
              <w:t>13, 14</w:t>
            </w:r>
          </w:p>
        </w:tc>
      </w:tr>
    </w:tbl>
    <w:p w14:paraId="4BC5CFC9" w14:textId="719EEB15" w:rsidR="00D80181" w:rsidRPr="00441178" w:rsidRDefault="00D80181" w:rsidP="00D80181">
      <w:pPr>
        <w:ind w:left="708" w:firstLine="708"/>
        <w:jc w:val="both"/>
        <w:rPr>
          <w:rFonts w:ascii="Arial" w:eastAsia="Times New Roman" w:hAnsi="Arial" w:cs="Arial"/>
          <w:i/>
          <w:iCs/>
          <w:sz w:val="16"/>
          <w:szCs w:val="16"/>
          <w:lang w:eastAsia="es-ES_tradnl"/>
        </w:rPr>
      </w:pPr>
      <w:r w:rsidRPr="00441178">
        <w:rPr>
          <w:rFonts w:ascii="Arial" w:eastAsia="Times New Roman" w:hAnsi="Arial" w:cs="Arial"/>
          <w:i/>
          <w:iCs/>
          <w:sz w:val="16"/>
          <w:szCs w:val="16"/>
          <w:lang w:eastAsia="es-ES_tradnl"/>
        </w:rPr>
        <w:t>FUENTE: SIRECI Plan de Mejoramiento</w:t>
      </w:r>
    </w:p>
    <w:p w14:paraId="14AE412A" w14:textId="77777777" w:rsidR="00D80181" w:rsidRDefault="00D80181" w:rsidP="00CB6A01">
      <w:pPr>
        <w:jc w:val="both"/>
      </w:pPr>
    </w:p>
    <w:p w14:paraId="24F5E872" w14:textId="5499C9F1" w:rsidR="00D80181" w:rsidRPr="00CC1B9F" w:rsidRDefault="00D80181" w:rsidP="00D80181">
      <w:pPr>
        <w:jc w:val="center"/>
        <w:rPr>
          <w:rFonts w:ascii="Arial" w:hAnsi="Arial" w:cs="Arial"/>
          <w:b/>
          <w:bCs/>
          <w:i/>
          <w:iCs/>
          <w:sz w:val="20"/>
          <w:szCs w:val="20"/>
        </w:rPr>
      </w:pPr>
      <w:r w:rsidRPr="00CC1B9F">
        <w:rPr>
          <w:rFonts w:ascii="Arial" w:hAnsi="Arial" w:cs="Arial"/>
          <w:b/>
          <w:bCs/>
          <w:i/>
          <w:iCs/>
          <w:sz w:val="20"/>
          <w:szCs w:val="20"/>
        </w:rPr>
        <w:t>Tabla 16 Composición Seguimiento Plan de Mejoramiento</w:t>
      </w:r>
    </w:p>
    <w:tbl>
      <w:tblPr>
        <w:tblStyle w:val="Tablaconcuadrcula"/>
        <w:tblW w:w="8642" w:type="dxa"/>
        <w:jc w:val="center"/>
        <w:tblLook w:val="04A0" w:firstRow="1" w:lastRow="0" w:firstColumn="1" w:lastColumn="0" w:noHBand="0" w:noVBand="1"/>
      </w:tblPr>
      <w:tblGrid>
        <w:gridCol w:w="990"/>
        <w:gridCol w:w="963"/>
        <w:gridCol w:w="1079"/>
        <w:gridCol w:w="1115"/>
        <w:gridCol w:w="1034"/>
        <w:gridCol w:w="1150"/>
        <w:gridCol w:w="972"/>
        <w:gridCol w:w="839"/>
        <w:gridCol w:w="1283"/>
      </w:tblGrid>
      <w:tr w:rsidR="00CC1B9F" w:rsidRPr="00CC1B9F" w14:paraId="24EC5AB6" w14:textId="47EE4498" w:rsidTr="00CC1B9F">
        <w:trPr>
          <w:jc w:val="center"/>
        </w:trPr>
        <w:tc>
          <w:tcPr>
            <w:tcW w:w="8642" w:type="dxa"/>
            <w:gridSpan w:val="9"/>
          </w:tcPr>
          <w:p w14:paraId="045751DE" w14:textId="625350A1"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Hallazgos objeto de seguimiento en la presente auditoría</w:t>
            </w:r>
          </w:p>
        </w:tc>
      </w:tr>
      <w:tr w:rsidR="00CC1B9F" w:rsidRPr="00CC1B9F" w14:paraId="0E55A87B" w14:textId="622D6F97" w:rsidTr="00CC1B9F">
        <w:trPr>
          <w:jc w:val="center"/>
        </w:trPr>
        <w:tc>
          <w:tcPr>
            <w:tcW w:w="939" w:type="dxa"/>
            <w:vMerge w:val="restart"/>
          </w:tcPr>
          <w:p w14:paraId="1A75A0A0" w14:textId="77777777" w:rsidR="00CC1B9F" w:rsidRPr="00CC1B9F" w:rsidRDefault="00CC1B9F" w:rsidP="00D80181">
            <w:pPr>
              <w:jc w:val="center"/>
              <w:rPr>
                <w:rFonts w:ascii="Arial" w:eastAsia="Times New Roman" w:hAnsi="Arial" w:cs="Arial"/>
                <w:b/>
                <w:bCs/>
                <w:i/>
                <w:iCs/>
                <w:sz w:val="16"/>
                <w:szCs w:val="16"/>
                <w:lang w:eastAsia="es-ES_tradnl"/>
              </w:rPr>
            </w:pPr>
          </w:p>
          <w:p w14:paraId="1A60C047" w14:textId="7D680430"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VIGENCIA</w:t>
            </w:r>
          </w:p>
        </w:tc>
        <w:tc>
          <w:tcPr>
            <w:tcW w:w="879" w:type="dxa"/>
            <w:vMerge w:val="restart"/>
          </w:tcPr>
          <w:p w14:paraId="0CBD1433" w14:textId="7825B943"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Cantidad de Hallazgos</w:t>
            </w:r>
          </w:p>
        </w:tc>
        <w:tc>
          <w:tcPr>
            <w:tcW w:w="963" w:type="dxa"/>
            <w:vMerge w:val="restart"/>
          </w:tcPr>
          <w:p w14:paraId="4CBCA90A" w14:textId="34CF9356"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Metas propuestas</w:t>
            </w:r>
          </w:p>
        </w:tc>
        <w:tc>
          <w:tcPr>
            <w:tcW w:w="989" w:type="dxa"/>
            <w:vMerge w:val="restart"/>
          </w:tcPr>
          <w:p w14:paraId="7CADCD87" w14:textId="52A80626"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Actividades Propuestas</w:t>
            </w:r>
          </w:p>
        </w:tc>
        <w:tc>
          <w:tcPr>
            <w:tcW w:w="4872" w:type="dxa"/>
            <w:gridSpan w:val="5"/>
          </w:tcPr>
          <w:p w14:paraId="6CEAFF6B" w14:textId="1A75D095"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Actividades</w:t>
            </w:r>
          </w:p>
        </w:tc>
      </w:tr>
      <w:tr w:rsidR="00CC1B9F" w:rsidRPr="00CC1B9F" w14:paraId="15B7A3D7" w14:textId="2E894308" w:rsidTr="00CC1B9F">
        <w:trPr>
          <w:jc w:val="center"/>
        </w:trPr>
        <w:tc>
          <w:tcPr>
            <w:tcW w:w="939" w:type="dxa"/>
            <w:vMerge/>
          </w:tcPr>
          <w:p w14:paraId="072D2CDC" w14:textId="77777777" w:rsidR="00CC1B9F" w:rsidRPr="00CC1B9F" w:rsidRDefault="00CC1B9F" w:rsidP="00D80181">
            <w:pPr>
              <w:jc w:val="center"/>
              <w:rPr>
                <w:rFonts w:ascii="Arial" w:eastAsia="Times New Roman" w:hAnsi="Arial" w:cs="Arial"/>
                <w:b/>
                <w:bCs/>
                <w:i/>
                <w:iCs/>
                <w:sz w:val="16"/>
                <w:szCs w:val="16"/>
                <w:lang w:eastAsia="es-ES_tradnl"/>
              </w:rPr>
            </w:pPr>
          </w:p>
        </w:tc>
        <w:tc>
          <w:tcPr>
            <w:tcW w:w="879" w:type="dxa"/>
            <w:vMerge/>
          </w:tcPr>
          <w:p w14:paraId="6B1EB3E9" w14:textId="77777777" w:rsidR="00CC1B9F" w:rsidRPr="00CC1B9F" w:rsidRDefault="00CC1B9F" w:rsidP="00D80181">
            <w:pPr>
              <w:jc w:val="center"/>
              <w:rPr>
                <w:rFonts w:ascii="Arial" w:eastAsia="Times New Roman" w:hAnsi="Arial" w:cs="Arial"/>
                <w:b/>
                <w:bCs/>
                <w:i/>
                <w:iCs/>
                <w:sz w:val="16"/>
                <w:szCs w:val="16"/>
                <w:lang w:eastAsia="es-ES_tradnl"/>
              </w:rPr>
            </w:pPr>
          </w:p>
        </w:tc>
        <w:tc>
          <w:tcPr>
            <w:tcW w:w="963" w:type="dxa"/>
            <w:vMerge/>
          </w:tcPr>
          <w:p w14:paraId="13E8D022" w14:textId="77777777" w:rsidR="00CC1B9F" w:rsidRPr="00CC1B9F" w:rsidRDefault="00CC1B9F" w:rsidP="00D80181">
            <w:pPr>
              <w:jc w:val="center"/>
              <w:rPr>
                <w:rFonts w:ascii="Arial" w:eastAsia="Times New Roman" w:hAnsi="Arial" w:cs="Arial"/>
                <w:b/>
                <w:bCs/>
                <w:i/>
                <w:iCs/>
                <w:sz w:val="16"/>
                <w:szCs w:val="16"/>
                <w:lang w:eastAsia="es-ES_tradnl"/>
              </w:rPr>
            </w:pPr>
          </w:p>
        </w:tc>
        <w:tc>
          <w:tcPr>
            <w:tcW w:w="989" w:type="dxa"/>
            <w:vMerge/>
          </w:tcPr>
          <w:p w14:paraId="65855DC6" w14:textId="77777777" w:rsidR="00CC1B9F" w:rsidRPr="00CC1B9F" w:rsidRDefault="00CC1B9F" w:rsidP="00D80181">
            <w:pPr>
              <w:jc w:val="center"/>
              <w:rPr>
                <w:rFonts w:ascii="Arial" w:eastAsia="Times New Roman" w:hAnsi="Arial" w:cs="Arial"/>
                <w:b/>
                <w:bCs/>
                <w:i/>
                <w:iCs/>
                <w:sz w:val="16"/>
                <w:szCs w:val="16"/>
                <w:lang w:eastAsia="es-ES_tradnl"/>
              </w:rPr>
            </w:pPr>
          </w:p>
        </w:tc>
        <w:tc>
          <w:tcPr>
            <w:tcW w:w="930" w:type="dxa"/>
          </w:tcPr>
          <w:p w14:paraId="486B6253" w14:textId="7877DC42"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Cumplidas</w:t>
            </w:r>
          </w:p>
        </w:tc>
        <w:tc>
          <w:tcPr>
            <w:tcW w:w="1022" w:type="dxa"/>
          </w:tcPr>
          <w:p w14:paraId="5AA7EB7C" w14:textId="5468277E"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Incumplidas</w:t>
            </w:r>
          </w:p>
        </w:tc>
        <w:tc>
          <w:tcPr>
            <w:tcW w:w="871" w:type="dxa"/>
          </w:tcPr>
          <w:p w14:paraId="7701CC02" w14:textId="4D7C71E0"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En Ejecución</w:t>
            </w:r>
          </w:p>
        </w:tc>
        <w:tc>
          <w:tcPr>
            <w:tcW w:w="762" w:type="dxa"/>
          </w:tcPr>
          <w:p w14:paraId="1AFC725F" w14:textId="073A0046"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Persiste</w:t>
            </w:r>
          </w:p>
        </w:tc>
        <w:tc>
          <w:tcPr>
            <w:tcW w:w="1287" w:type="dxa"/>
          </w:tcPr>
          <w:p w14:paraId="61BC73E9" w14:textId="56BE8B32" w:rsidR="00CC1B9F" w:rsidRPr="00CC1B9F" w:rsidRDefault="00CC1B9F" w:rsidP="00D80181">
            <w:pPr>
              <w:jc w:val="center"/>
              <w:rPr>
                <w:rFonts w:ascii="Arial" w:eastAsia="Times New Roman" w:hAnsi="Arial" w:cs="Arial"/>
                <w:b/>
                <w:bCs/>
                <w:i/>
                <w:iCs/>
                <w:sz w:val="16"/>
                <w:szCs w:val="16"/>
                <w:lang w:eastAsia="es-ES_tradnl"/>
              </w:rPr>
            </w:pPr>
            <w:r w:rsidRPr="00CC1B9F">
              <w:rPr>
                <w:rFonts w:ascii="Arial" w:eastAsia="Times New Roman" w:hAnsi="Arial" w:cs="Arial"/>
                <w:b/>
                <w:bCs/>
                <w:i/>
                <w:iCs/>
                <w:sz w:val="16"/>
                <w:szCs w:val="16"/>
                <w:lang w:eastAsia="es-ES_tradnl"/>
              </w:rPr>
              <w:t>Nivel de Cumplimiento</w:t>
            </w:r>
          </w:p>
        </w:tc>
      </w:tr>
      <w:tr w:rsidR="00CC1B9F" w:rsidRPr="00CC1B9F" w14:paraId="3055C528" w14:textId="62FD7FE9" w:rsidTr="00CC1B9F">
        <w:trPr>
          <w:jc w:val="center"/>
        </w:trPr>
        <w:tc>
          <w:tcPr>
            <w:tcW w:w="939" w:type="dxa"/>
          </w:tcPr>
          <w:p w14:paraId="41151BB0" w14:textId="708BD104"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2020</w:t>
            </w:r>
          </w:p>
        </w:tc>
        <w:tc>
          <w:tcPr>
            <w:tcW w:w="879" w:type="dxa"/>
          </w:tcPr>
          <w:p w14:paraId="61D40BB2" w14:textId="43558B59"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3</w:t>
            </w:r>
          </w:p>
        </w:tc>
        <w:tc>
          <w:tcPr>
            <w:tcW w:w="963" w:type="dxa"/>
          </w:tcPr>
          <w:p w14:paraId="1ED1A6EC" w14:textId="445047B3"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22</w:t>
            </w:r>
          </w:p>
        </w:tc>
        <w:tc>
          <w:tcPr>
            <w:tcW w:w="989" w:type="dxa"/>
          </w:tcPr>
          <w:p w14:paraId="6BFD7DDA" w14:textId="5E45A425"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29</w:t>
            </w:r>
          </w:p>
        </w:tc>
        <w:tc>
          <w:tcPr>
            <w:tcW w:w="930" w:type="dxa"/>
          </w:tcPr>
          <w:p w14:paraId="76D21764" w14:textId="32014598"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29</w:t>
            </w:r>
          </w:p>
        </w:tc>
        <w:tc>
          <w:tcPr>
            <w:tcW w:w="1022" w:type="dxa"/>
          </w:tcPr>
          <w:p w14:paraId="74D859A0" w14:textId="4D0BB282"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0</w:t>
            </w:r>
          </w:p>
        </w:tc>
        <w:tc>
          <w:tcPr>
            <w:tcW w:w="871" w:type="dxa"/>
          </w:tcPr>
          <w:p w14:paraId="2AF34A89" w14:textId="595D586C"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0</w:t>
            </w:r>
          </w:p>
        </w:tc>
        <w:tc>
          <w:tcPr>
            <w:tcW w:w="762" w:type="dxa"/>
          </w:tcPr>
          <w:p w14:paraId="527F238A" w14:textId="261FF9C3"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2</w:t>
            </w:r>
          </w:p>
        </w:tc>
        <w:tc>
          <w:tcPr>
            <w:tcW w:w="1287" w:type="dxa"/>
          </w:tcPr>
          <w:p w14:paraId="728340B1" w14:textId="5379FCC8"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100%</w:t>
            </w:r>
          </w:p>
        </w:tc>
      </w:tr>
      <w:tr w:rsidR="00CC1B9F" w:rsidRPr="00CC1B9F" w14:paraId="3CF35129" w14:textId="34A2231B" w:rsidTr="00CC1B9F">
        <w:trPr>
          <w:jc w:val="center"/>
        </w:trPr>
        <w:tc>
          <w:tcPr>
            <w:tcW w:w="939" w:type="dxa"/>
          </w:tcPr>
          <w:p w14:paraId="7809AA2B" w14:textId="3DB7D4E7"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2022</w:t>
            </w:r>
          </w:p>
        </w:tc>
        <w:tc>
          <w:tcPr>
            <w:tcW w:w="879" w:type="dxa"/>
          </w:tcPr>
          <w:p w14:paraId="25D21987" w14:textId="12D32D66"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13</w:t>
            </w:r>
          </w:p>
        </w:tc>
        <w:tc>
          <w:tcPr>
            <w:tcW w:w="963" w:type="dxa"/>
          </w:tcPr>
          <w:p w14:paraId="082A04B9" w14:textId="3C41D4F1"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25</w:t>
            </w:r>
          </w:p>
        </w:tc>
        <w:tc>
          <w:tcPr>
            <w:tcW w:w="989" w:type="dxa"/>
          </w:tcPr>
          <w:p w14:paraId="4F03D4EB" w14:textId="7B379AC4"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28</w:t>
            </w:r>
          </w:p>
        </w:tc>
        <w:tc>
          <w:tcPr>
            <w:tcW w:w="930" w:type="dxa"/>
          </w:tcPr>
          <w:p w14:paraId="610C1F8C" w14:textId="6EA5DD51"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21</w:t>
            </w:r>
          </w:p>
        </w:tc>
        <w:tc>
          <w:tcPr>
            <w:tcW w:w="1022" w:type="dxa"/>
          </w:tcPr>
          <w:p w14:paraId="29233872" w14:textId="54CBF972"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1</w:t>
            </w:r>
          </w:p>
        </w:tc>
        <w:tc>
          <w:tcPr>
            <w:tcW w:w="871" w:type="dxa"/>
          </w:tcPr>
          <w:p w14:paraId="4739272F" w14:textId="6D15FFB9"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6</w:t>
            </w:r>
          </w:p>
        </w:tc>
        <w:tc>
          <w:tcPr>
            <w:tcW w:w="762" w:type="dxa"/>
          </w:tcPr>
          <w:p w14:paraId="76A111A2" w14:textId="33BD7553"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5</w:t>
            </w:r>
          </w:p>
        </w:tc>
        <w:tc>
          <w:tcPr>
            <w:tcW w:w="1287" w:type="dxa"/>
          </w:tcPr>
          <w:p w14:paraId="1C2E72B5" w14:textId="07A41A0B"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75%</w:t>
            </w:r>
          </w:p>
        </w:tc>
      </w:tr>
      <w:tr w:rsidR="00CC1B9F" w:rsidRPr="00CC1B9F" w14:paraId="0C2A736B" w14:textId="158E07F0" w:rsidTr="00CC1B9F">
        <w:trPr>
          <w:jc w:val="center"/>
        </w:trPr>
        <w:tc>
          <w:tcPr>
            <w:tcW w:w="939" w:type="dxa"/>
          </w:tcPr>
          <w:p w14:paraId="657956F0" w14:textId="2641BF53"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Total</w:t>
            </w:r>
          </w:p>
        </w:tc>
        <w:tc>
          <w:tcPr>
            <w:tcW w:w="879" w:type="dxa"/>
          </w:tcPr>
          <w:p w14:paraId="7B0912FF" w14:textId="6086FF62"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16</w:t>
            </w:r>
          </w:p>
        </w:tc>
        <w:tc>
          <w:tcPr>
            <w:tcW w:w="963" w:type="dxa"/>
          </w:tcPr>
          <w:p w14:paraId="262AAA5D" w14:textId="55BD3D42"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47</w:t>
            </w:r>
          </w:p>
        </w:tc>
        <w:tc>
          <w:tcPr>
            <w:tcW w:w="989" w:type="dxa"/>
          </w:tcPr>
          <w:p w14:paraId="4DD670A6" w14:textId="75734ED6"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57</w:t>
            </w:r>
          </w:p>
        </w:tc>
        <w:tc>
          <w:tcPr>
            <w:tcW w:w="930" w:type="dxa"/>
          </w:tcPr>
          <w:p w14:paraId="36AC795B" w14:textId="64CDFA64"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50</w:t>
            </w:r>
          </w:p>
        </w:tc>
        <w:tc>
          <w:tcPr>
            <w:tcW w:w="1022" w:type="dxa"/>
          </w:tcPr>
          <w:p w14:paraId="11B864DD" w14:textId="302D6A8C"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1</w:t>
            </w:r>
          </w:p>
        </w:tc>
        <w:tc>
          <w:tcPr>
            <w:tcW w:w="871" w:type="dxa"/>
          </w:tcPr>
          <w:p w14:paraId="6A022CBA" w14:textId="000049E8"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6</w:t>
            </w:r>
          </w:p>
        </w:tc>
        <w:tc>
          <w:tcPr>
            <w:tcW w:w="762" w:type="dxa"/>
          </w:tcPr>
          <w:p w14:paraId="707ACF7B" w14:textId="064ABD5C"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7</w:t>
            </w:r>
          </w:p>
        </w:tc>
        <w:tc>
          <w:tcPr>
            <w:tcW w:w="1287" w:type="dxa"/>
          </w:tcPr>
          <w:p w14:paraId="3276A1D0" w14:textId="248D1CE2" w:rsidR="00CC1B9F" w:rsidRPr="00CC1B9F" w:rsidRDefault="00CC1B9F" w:rsidP="00D80181">
            <w:pPr>
              <w:jc w:val="center"/>
              <w:rPr>
                <w:rFonts w:ascii="Arial" w:eastAsia="Times New Roman" w:hAnsi="Arial" w:cs="Arial"/>
                <w:i/>
                <w:iCs/>
                <w:sz w:val="16"/>
                <w:szCs w:val="16"/>
                <w:lang w:eastAsia="es-ES_tradnl"/>
              </w:rPr>
            </w:pPr>
            <w:r w:rsidRPr="00CC1B9F">
              <w:rPr>
                <w:rFonts w:ascii="Arial" w:eastAsia="Times New Roman" w:hAnsi="Arial" w:cs="Arial"/>
                <w:i/>
                <w:iCs/>
                <w:sz w:val="16"/>
                <w:szCs w:val="16"/>
                <w:lang w:eastAsia="es-ES_tradnl"/>
              </w:rPr>
              <w:t>88%</w:t>
            </w:r>
          </w:p>
        </w:tc>
      </w:tr>
    </w:tbl>
    <w:p w14:paraId="0B5EFD3E" w14:textId="77777777" w:rsidR="00D80181" w:rsidRDefault="00D80181" w:rsidP="00D80181">
      <w:pPr>
        <w:jc w:val="center"/>
        <w:rPr>
          <w:rFonts w:ascii="Arial" w:eastAsia="Times New Roman" w:hAnsi="Arial" w:cs="Arial"/>
          <w:sz w:val="22"/>
          <w:szCs w:val="22"/>
          <w:lang w:eastAsia="es-ES_tradnl"/>
        </w:rPr>
      </w:pPr>
    </w:p>
    <w:p w14:paraId="7DC642A9" w14:textId="2DF2ACEE"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Los hallazgos revisados fueron 16, compuestos por 57 actividades de mejora para subsanar lo planteado en procesos auditores contemplados en el plan de mejoramiento reportado en el Sistema de Rendición Electrónica de la Cuenta e Informes -SIRECI- de conformidad con la Resolución 042 del 5 de agosto de 2020, capítulo 6, artículo 39 y los parámetros de evaluación establecidos en la Guía de Auditoría Financiera.</w:t>
      </w:r>
    </w:p>
    <w:p w14:paraId="3D265A8E" w14:textId="77777777" w:rsidR="00CC1B9F" w:rsidRPr="00CC1B9F" w:rsidRDefault="00CC1B9F" w:rsidP="00CC1B9F">
      <w:pPr>
        <w:jc w:val="both"/>
        <w:rPr>
          <w:rFonts w:ascii="Arial" w:eastAsia="Times New Roman" w:hAnsi="Arial" w:cs="Arial"/>
          <w:i/>
          <w:iCs/>
          <w:sz w:val="20"/>
          <w:szCs w:val="20"/>
          <w:lang w:eastAsia="es-ES_tradnl"/>
        </w:rPr>
      </w:pPr>
    </w:p>
    <w:p w14:paraId="06D9ABEB" w14:textId="036CC677"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Las acciones propuestas para el hallazgo 82 no fueron efectivas, puesto que aún persisten.</w:t>
      </w:r>
    </w:p>
    <w:p w14:paraId="381B775F" w14:textId="77777777" w:rsidR="00CC1B9F" w:rsidRPr="00CC1B9F" w:rsidRDefault="00CC1B9F" w:rsidP="00CC1B9F">
      <w:pPr>
        <w:jc w:val="both"/>
        <w:rPr>
          <w:rFonts w:ascii="Arial" w:eastAsia="Times New Roman" w:hAnsi="Arial" w:cs="Arial"/>
          <w:i/>
          <w:iCs/>
          <w:sz w:val="20"/>
          <w:szCs w:val="20"/>
          <w:lang w:eastAsia="es-ES_tradnl"/>
        </w:rPr>
      </w:pPr>
    </w:p>
    <w:p w14:paraId="685A8619" w14:textId="7D20A368"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El plan de mejoramiento no supera el 80% de hallazgos no subsanados por lo que</w:t>
      </w:r>
      <w:r w:rsidR="00F411A7">
        <w:rPr>
          <w:rFonts w:ascii="Arial" w:eastAsia="Times New Roman" w:hAnsi="Arial" w:cs="Arial"/>
          <w:i/>
          <w:iCs/>
          <w:sz w:val="20"/>
          <w:szCs w:val="20"/>
          <w:lang w:eastAsia="es-ES_tradnl"/>
        </w:rPr>
        <w:t xml:space="preserve"> </w:t>
      </w:r>
      <w:r w:rsidRPr="00CC1B9F">
        <w:rPr>
          <w:rFonts w:ascii="Arial" w:eastAsia="Times New Roman" w:hAnsi="Arial" w:cs="Arial"/>
          <w:i/>
          <w:iCs/>
          <w:sz w:val="20"/>
          <w:szCs w:val="20"/>
          <w:lang w:eastAsia="es-ES_tradnl"/>
        </w:rPr>
        <w:t>se califica como EFECTIVO.</w:t>
      </w:r>
    </w:p>
    <w:p w14:paraId="29044CA7" w14:textId="77777777" w:rsidR="00CC1B9F" w:rsidRPr="00CC1B9F" w:rsidRDefault="00CC1B9F" w:rsidP="00CC1B9F">
      <w:pPr>
        <w:jc w:val="both"/>
        <w:rPr>
          <w:rFonts w:ascii="Arial" w:eastAsia="Times New Roman" w:hAnsi="Arial" w:cs="Arial"/>
          <w:i/>
          <w:iCs/>
          <w:sz w:val="20"/>
          <w:szCs w:val="20"/>
          <w:lang w:eastAsia="es-ES_tradnl"/>
        </w:rPr>
      </w:pPr>
    </w:p>
    <w:p w14:paraId="32814B3C" w14:textId="73D7632B" w:rsidR="00CC1B9F" w:rsidRPr="00CC1B9F" w:rsidRDefault="00CC1B9F" w:rsidP="00CC1B9F">
      <w:pPr>
        <w:jc w:val="both"/>
        <w:rPr>
          <w:rFonts w:ascii="Arial" w:eastAsia="Times New Roman" w:hAnsi="Arial" w:cs="Arial"/>
          <w:b/>
          <w:bCs/>
          <w:i/>
          <w:iCs/>
          <w:sz w:val="20"/>
          <w:szCs w:val="20"/>
          <w:lang w:eastAsia="es-ES_tradnl"/>
        </w:rPr>
      </w:pPr>
      <w:r w:rsidRPr="00CC1B9F">
        <w:rPr>
          <w:rFonts w:ascii="Arial" w:eastAsia="Times New Roman" w:hAnsi="Arial" w:cs="Arial"/>
          <w:b/>
          <w:bCs/>
          <w:i/>
          <w:iCs/>
          <w:sz w:val="20"/>
          <w:szCs w:val="20"/>
          <w:lang w:eastAsia="es-ES_tradnl"/>
        </w:rPr>
        <w:t>Hallazgos con cumplimiento del 100%</w:t>
      </w:r>
    </w:p>
    <w:p w14:paraId="28B2FA86" w14:textId="77777777" w:rsidR="00CC1B9F" w:rsidRPr="00CC1B9F" w:rsidRDefault="00CC1B9F" w:rsidP="00CC1B9F">
      <w:pPr>
        <w:jc w:val="both"/>
        <w:rPr>
          <w:rFonts w:ascii="Arial" w:eastAsia="Times New Roman" w:hAnsi="Arial" w:cs="Arial"/>
          <w:i/>
          <w:iCs/>
          <w:sz w:val="20"/>
          <w:szCs w:val="20"/>
          <w:lang w:eastAsia="es-ES_tradnl"/>
        </w:rPr>
      </w:pPr>
    </w:p>
    <w:p w14:paraId="2530160A" w14:textId="24FD6907"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 xml:space="preserve">Para los siguientes hallazgos se evidenció su cumplimiento y efectividad, por tanto, </w:t>
      </w:r>
    </w:p>
    <w:p w14:paraId="04EDB584" w14:textId="164486E5" w:rsidR="00D80181"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pueden ser retirados del plan de mejoramiento, así:</w:t>
      </w:r>
    </w:p>
    <w:p w14:paraId="043788A8" w14:textId="77777777" w:rsidR="00CC1B9F" w:rsidRPr="00CC1B9F" w:rsidRDefault="00CC1B9F" w:rsidP="00CC1B9F">
      <w:pPr>
        <w:jc w:val="both"/>
        <w:rPr>
          <w:rFonts w:ascii="Arial" w:eastAsia="Times New Roman" w:hAnsi="Arial" w:cs="Arial"/>
          <w:i/>
          <w:iCs/>
          <w:sz w:val="20"/>
          <w:szCs w:val="20"/>
          <w:lang w:eastAsia="es-ES_tradnl"/>
        </w:rPr>
      </w:pPr>
    </w:p>
    <w:p w14:paraId="1FBD97CF" w14:textId="77777777"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Vigencia 2020</w:t>
      </w:r>
    </w:p>
    <w:p w14:paraId="4775B398" w14:textId="77777777"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Hallazgos números: 61, 74</w:t>
      </w:r>
    </w:p>
    <w:p w14:paraId="47786D67" w14:textId="77777777" w:rsidR="00CC1B9F" w:rsidRPr="00CC1B9F" w:rsidRDefault="00CC1B9F" w:rsidP="00CC1B9F">
      <w:pPr>
        <w:jc w:val="both"/>
        <w:rPr>
          <w:rFonts w:ascii="Arial" w:eastAsia="Times New Roman" w:hAnsi="Arial" w:cs="Arial"/>
          <w:i/>
          <w:iCs/>
          <w:sz w:val="20"/>
          <w:szCs w:val="20"/>
          <w:lang w:eastAsia="es-ES_tradnl"/>
        </w:rPr>
      </w:pPr>
    </w:p>
    <w:p w14:paraId="0977AE6E" w14:textId="5C371047"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Vigencia 2022</w:t>
      </w:r>
    </w:p>
    <w:p w14:paraId="4F6B6E21" w14:textId="77777777"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Hallazgos números:1, 2, 3, 4, 5, 16, 17, 16, 19, 6</w:t>
      </w:r>
    </w:p>
    <w:p w14:paraId="7F177CB5" w14:textId="77777777" w:rsidR="00CC1B9F" w:rsidRPr="00CC1B9F" w:rsidRDefault="00CC1B9F" w:rsidP="00CC1B9F">
      <w:pPr>
        <w:jc w:val="both"/>
        <w:rPr>
          <w:rFonts w:ascii="Arial" w:eastAsia="Times New Roman" w:hAnsi="Arial" w:cs="Arial"/>
          <w:i/>
          <w:iCs/>
          <w:sz w:val="20"/>
          <w:szCs w:val="20"/>
          <w:lang w:eastAsia="es-ES_tradnl"/>
        </w:rPr>
      </w:pPr>
    </w:p>
    <w:p w14:paraId="676CBC5B" w14:textId="77777777" w:rsidR="00CC1B9F" w:rsidRPr="00CC1B9F" w:rsidRDefault="00CC1B9F" w:rsidP="00CC1B9F">
      <w:pPr>
        <w:jc w:val="both"/>
        <w:rPr>
          <w:rFonts w:ascii="Arial" w:eastAsia="Times New Roman" w:hAnsi="Arial" w:cs="Arial"/>
          <w:b/>
          <w:bCs/>
          <w:i/>
          <w:iCs/>
          <w:sz w:val="20"/>
          <w:szCs w:val="20"/>
          <w:lang w:eastAsia="es-ES_tradnl"/>
        </w:rPr>
      </w:pPr>
      <w:r w:rsidRPr="00CC1B9F">
        <w:rPr>
          <w:rFonts w:ascii="Arial" w:eastAsia="Times New Roman" w:hAnsi="Arial" w:cs="Arial"/>
          <w:b/>
          <w:bCs/>
          <w:i/>
          <w:iCs/>
          <w:sz w:val="20"/>
          <w:szCs w:val="20"/>
          <w:lang w:eastAsia="es-ES_tradnl"/>
        </w:rPr>
        <w:t>Hallazgos con cumplimiento parcial, incumplimiento o inefectivos</w:t>
      </w:r>
    </w:p>
    <w:p w14:paraId="106F725C" w14:textId="77777777" w:rsidR="00CC1B9F" w:rsidRPr="00CC1B9F" w:rsidRDefault="00CC1B9F" w:rsidP="00CC1B9F">
      <w:pPr>
        <w:jc w:val="both"/>
        <w:rPr>
          <w:rFonts w:ascii="Arial" w:eastAsia="Times New Roman" w:hAnsi="Arial" w:cs="Arial"/>
          <w:i/>
          <w:iCs/>
          <w:sz w:val="20"/>
          <w:szCs w:val="20"/>
          <w:lang w:eastAsia="es-ES_tradnl"/>
        </w:rPr>
      </w:pPr>
    </w:p>
    <w:p w14:paraId="72BD6ED6" w14:textId="75A718A9"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Los hallazgos con cumplimiento parcial, incumplimiento, inefectivos o que persisten, se deben completar las acciones y/o reorientar las mismas para lograr la efectividad de las gestiones y solucionar las causas que generaron los hallazgos, por tanto, continúan en el Plan de Mejoramiento, así:</w:t>
      </w:r>
    </w:p>
    <w:p w14:paraId="4AF0197D" w14:textId="77777777" w:rsidR="00CC1B9F" w:rsidRPr="00CC1B9F" w:rsidRDefault="00CC1B9F" w:rsidP="00CC1B9F">
      <w:pPr>
        <w:jc w:val="both"/>
        <w:rPr>
          <w:rFonts w:ascii="Arial" w:eastAsia="Times New Roman" w:hAnsi="Arial" w:cs="Arial"/>
          <w:i/>
          <w:iCs/>
          <w:sz w:val="20"/>
          <w:szCs w:val="20"/>
          <w:lang w:eastAsia="es-ES_tradnl"/>
        </w:rPr>
      </w:pPr>
    </w:p>
    <w:p w14:paraId="68520219" w14:textId="77777777"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Vigencia 2020, Hallazgos números: 82</w:t>
      </w:r>
    </w:p>
    <w:p w14:paraId="5EA8AEF3" w14:textId="7FD0B0DF" w:rsidR="00CC1B9F" w:rsidRPr="00CC1B9F" w:rsidRDefault="00CC1B9F" w:rsidP="00CC1B9F">
      <w:pPr>
        <w:jc w:val="both"/>
        <w:rPr>
          <w:rFonts w:ascii="Arial" w:eastAsia="Times New Roman" w:hAnsi="Arial" w:cs="Arial"/>
          <w:i/>
          <w:iCs/>
          <w:sz w:val="20"/>
          <w:szCs w:val="20"/>
          <w:lang w:eastAsia="es-ES_tradnl"/>
        </w:rPr>
      </w:pPr>
      <w:r w:rsidRPr="00CC1B9F">
        <w:rPr>
          <w:rFonts w:ascii="Arial" w:eastAsia="Times New Roman" w:hAnsi="Arial" w:cs="Arial"/>
          <w:i/>
          <w:iCs/>
          <w:sz w:val="20"/>
          <w:szCs w:val="20"/>
          <w:lang w:eastAsia="es-ES_tradnl"/>
        </w:rPr>
        <w:t>Vigencia 2022, Hallazgos números: 11, 14, 18…”</w:t>
      </w:r>
    </w:p>
    <w:p w14:paraId="324D442A" w14:textId="77777777" w:rsidR="00D80181" w:rsidRDefault="00D80181" w:rsidP="00CB6A01">
      <w:pPr>
        <w:jc w:val="both"/>
        <w:rPr>
          <w:rFonts w:ascii="Arial" w:eastAsia="Times New Roman" w:hAnsi="Arial" w:cs="Arial"/>
          <w:sz w:val="22"/>
          <w:szCs w:val="22"/>
          <w:lang w:eastAsia="es-ES_tradnl"/>
        </w:rPr>
      </w:pPr>
    </w:p>
    <w:p w14:paraId="4A6B8119" w14:textId="77777777" w:rsidR="00986794" w:rsidRDefault="00986794" w:rsidP="00CB6A01">
      <w:pPr>
        <w:jc w:val="both"/>
        <w:rPr>
          <w:rFonts w:ascii="Arial" w:eastAsia="Times New Roman" w:hAnsi="Arial" w:cs="Arial"/>
          <w:sz w:val="22"/>
          <w:szCs w:val="22"/>
          <w:lang w:eastAsia="es-ES_tradnl"/>
        </w:rPr>
      </w:pPr>
    </w:p>
    <w:p w14:paraId="724D11D3" w14:textId="77777777" w:rsidR="00986794" w:rsidRDefault="00986794" w:rsidP="00CB6A01">
      <w:pPr>
        <w:jc w:val="both"/>
        <w:rPr>
          <w:rFonts w:ascii="Arial" w:eastAsia="Times New Roman" w:hAnsi="Arial" w:cs="Arial"/>
          <w:sz w:val="22"/>
          <w:szCs w:val="22"/>
          <w:lang w:eastAsia="es-ES_tradnl"/>
        </w:rPr>
      </w:pPr>
    </w:p>
    <w:p w14:paraId="0C4A526D" w14:textId="3F97B72E" w:rsidR="00986794" w:rsidRDefault="00986794" w:rsidP="00986794">
      <w:pPr>
        <w:jc w:val="both"/>
        <w:rPr>
          <w:rFonts w:ascii="Arial" w:hAnsi="Arial" w:cs="Arial"/>
          <w:sz w:val="22"/>
          <w:szCs w:val="22"/>
        </w:rPr>
      </w:pPr>
      <w:r>
        <w:rPr>
          <w:rFonts w:ascii="Arial" w:hAnsi="Arial" w:cs="Arial"/>
          <w:sz w:val="22"/>
          <w:szCs w:val="22"/>
        </w:rPr>
        <w:lastRenderedPageBreak/>
        <w:t>De la au</w:t>
      </w:r>
      <w:r w:rsidRPr="005807DC">
        <w:rPr>
          <w:rFonts w:ascii="Arial" w:hAnsi="Arial" w:cs="Arial"/>
          <w:sz w:val="22"/>
          <w:szCs w:val="22"/>
        </w:rPr>
        <w:t xml:space="preserve">ditoría financiera 2022 se </w:t>
      </w:r>
      <w:r>
        <w:rPr>
          <w:rFonts w:ascii="Arial" w:hAnsi="Arial" w:cs="Arial"/>
          <w:sz w:val="22"/>
          <w:szCs w:val="22"/>
        </w:rPr>
        <w:t xml:space="preserve">realizó </w:t>
      </w:r>
      <w:r w:rsidRPr="00E96679">
        <w:rPr>
          <w:rFonts w:ascii="Arial" w:hAnsi="Arial" w:cs="Arial"/>
          <w:sz w:val="22"/>
          <w:szCs w:val="22"/>
        </w:rPr>
        <w:t xml:space="preserve">formulación de 7 hallazgos con 22 metas y una reformulación de 4 hallazgos </w:t>
      </w:r>
      <w:r>
        <w:rPr>
          <w:rFonts w:ascii="Arial" w:hAnsi="Arial" w:cs="Arial"/>
          <w:sz w:val="22"/>
          <w:szCs w:val="22"/>
        </w:rPr>
        <w:t xml:space="preserve">(ARF 2019 - H.82, ARF 2021 – H.11, H.14 y H.18) </w:t>
      </w:r>
      <w:r w:rsidRPr="00E96679">
        <w:rPr>
          <w:rFonts w:ascii="Arial" w:hAnsi="Arial" w:cs="Arial"/>
          <w:sz w:val="22"/>
          <w:szCs w:val="22"/>
        </w:rPr>
        <w:t>con 10 metas para un total de 11 hallazgos con 32 metas</w:t>
      </w:r>
      <w:r>
        <w:rPr>
          <w:rStyle w:val="Refdenotaalpie"/>
          <w:rFonts w:ascii="Arial" w:hAnsi="Arial" w:cs="Arial"/>
          <w:sz w:val="22"/>
          <w:szCs w:val="22"/>
        </w:rPr>
        <w:footnoteReference w:id="2"/>
      </w:r>
      <w:r>
        <w:rPr>
          <w:rFonts w:ascii="Arial" w:hAnsi="Arial" w:cs="Arial"/>
          <w:sz w:val="22"/>
          <w:szCs w:val="22"/>
        </w:rPr>
        <w:t xml:space="preserve">, que fue transmitido a través del SIRECI de la Contraloría General de la República en términos </w:t>
      </w:r>
      <w:r w:rsidRPr="00A301D0">
        <w:rPr>
          <w:rFonts w:ascii="Arial" w:hAnsi="Arial" w:cs="Arial"/>
          <w:sz w:val="22"/>
          <w:szCs w:val="22"/>
        </w:rPr>
        <w:t>el 2023/07/19 16</w:t>
      </w:r>
      <w:r>
        <w:rPr>
          <w:rFonts w:ascii="Arial" w:hAnsi="Arial" w:cs="Arial"/>
          <w:sz w:val="22"/>
          <w:szCs w:val="22"/>
        </w:rPr>
        <w:t>:06:53 en el formulario electrónico de nombre “F14.1: PLANES DE MEJORAMIENTO ENTIDADES” como se aprecia a continuación en la imagen de acuse de aceptación de rendición.</w:t>
      </w:r>
      <w:r w:rsidR="00BC4504">
        <w:rPr>
          <w:rFonts w:ascii="Arial" w:hAnsi="Arial" w:cs="Arial"/>
          <w:sz w:val="22"/>
          <w:szCs w:val="22"/>
        </w:rPr>
        <w:t xml:space="preserve"> (Anexo 1).</w:t>
      </w:r>
    </w:p>
    <w:p w14:paraId="1A48C4B1" w14:textId="77777777" w:rsidR="00986794" w:rsidRPr="00B3795E" w:rsidRDefault="00986794" w:rsidP="00986794">
      <w:pPr>
        <w:jc w:val="both"/>
        <w:rPr>
          <w:rFonts w:ascii="Arial" w:hAnsi="Arial" w:cs="Arial"/>
          <w:sz w:val="22"/>
          <w:szCs w:val="22"/>
        </w:rPr>
      </w:pPr>
    </w:p>
    <w:p w14:paraId="74AE6A67" w14:textId="77777777" w:rsidR="00986794" w:rsidRPr="009E31A5" w:rsidRDefault="00986794" w:rsidP="00986794">
      <w:pPr>
        <w:jc w:val="center"/>
        <w:rPr>
          <w:rFonts w:ascii="Arial" w:eastAsia="Times New Roman" w:hAnsi="Arial" w:cs="Arial"/>
          <w:sz w:val="22"/>
          <w:szCs w:val="22"/>
          <w:lang w:eastAsia="es-ES_tradnl"/>
        </w:rPr>
      </w:pPr>
      <w:r w:rsidRPr="005016DF">
        <w:rPr>
          <w:rFonts w:ascii="Arial" w:eastAsia="Times New Roman" w:hAnsi="Arial" w:cs="Arial"/>
          <w:noProof/>
          <w:sz w:val="22"/>
          <w:szCs w:val="22"/>
          <w:bdr w:val="single" w:sz="4" w:space="0" w:color="auto" w:shadow="1"/>
          <w:lang w:val="en-US"/>
        </w:rPr>
        <w:drawing>
          <wp:inline distT="0" distB="0" distL="0" distR="0" wp14:anchorId="21ED0C1E" wp14:editId="159FB307">
            <wp:extent cx="3082090" cy="2743200"/>
            <wp:effectExtent l="0" t="0" r="4445" b="0"/>
            <wp:docPr id="1558016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6277" t="12335" r="21407" b="20700"/>
                    <a:stretch/>
                  </pic:blipFill>
                  <pic:spPr bwMode="auto">
                    <a:xfrm>
                      <a:off x="0" y="0"/>
                      <a:ext cx="3140273" cy="2794986"/>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inline>
        </w:drawing>
      </w:r>
    </w:p>
    <w:p w14:paraId="1A3F17F2" w14:textId="77777777" w:rsidR="005016DF" w:rsidRDefault="005016DF" w:rsidP="007C2337">
      <w:pPr>
        <w:jc w:val="both"/>
        <w:rPr>
          <w:rFonts w:ascii="Arial" w:eastAsia="Times New Roman" w:hAnsi="Arial" w:cs="Arial"/>
          <w:sz w:val="22"/>
          <w:szCs w:val="22"/>
          <w:lang w:eastAsia="es-ES_tradnl"/>
        </w:rPr>
      </w:pPr>
    </w:p>
    <w:p w14:paraId="6B71F7C2" w14:textId="041F9968" w:rsidR="007C2337" w:rsidRDefault="004B6511" w:rsidP="007C2337">
      <w:pPr>
        <w:jc w:val="both"/>
        <w:rPr>
          <w:rFonts w:ascii="Arial" w:hAnsi="Arial" w:cs="Arial"/>
          <w:sz w:val="22"/>
          <w:szCs w:val="22"/>
        </w:rPr>
      </w:pPr>
      <w:r w:rsidRPr="009E31A5">
        <w:rPr>
          <w:rFonts w:ascii="Arial" w:eastAsia="Times New Roman" w:hAnsi="Arial" w:cs="Arial"/>
          <w:sz w:val="22"/>
          <w:szCs w:val="22"/>
          <w:lang w:eastAsia="es-ES_tradnl"/>
        </w:rPr>
        <w:t xml:space="preserve">Conforme </w:t>
      </w:r>
      <w:r w:rsidR="00B33B09">
        <w:rPr>
          <w:rFonts w:ascii="Arial" w:eastAsia="Times New Roman" w:hAnsi="Arial" w:cs="Arial"/>
          <w:sz w:val="22"/>
          <w:szCs w:val="22"/>
          <w:lang w:eastAsia="es-ES_tradnl"/>
        </w:rPr>
        <w:t xml:space="preserve">con </w:t>
      </w:r>
      <w:r w:rsidRPr="009E31A5">
        <w:rPr>
          <w:rFonts w:ascii="Arial" w:eastAsia="Times New Roman" w:hAnsi="Arial" w:cs="Arial"/>
          <w:sz w:val="22"/>
          <w:szCs w:val="22"/>
          <w:lang w:eastAsia="es-ES_tradnl"/>
        </w:rPr>
        <w:t xml:space="preserve">lo anterior, y </w:t>
      </w:r>
      <w:r w:rsidR="00B33B09">
        <w:rPr>
          <w:rFonts w:ascii="Arial" w:eastAsia="Times New Roman" w:hAnsi="Arial" w:cs="Arial"/>
          <w:sz w:val="22"/>
          <w:szCs w:val="22"/>
          <w:lang w:eastAsia="es-ES_tradnl"/>
        </w:rPr>
        <w:t xml:space="preserve">retiro </w:t>
      </w:r>
      <w:r w:rsidR="005510BF" w:rsidRPr="009E31A5">
        <w:rPr>
          <w:rFonts w:ascii="Arial" w:eastAsia="Times New Roman" w:hAnsi="Arial" w:cs="Arial"/>
          <w:sz w:val="22"/>
          <w:szCs w:val="22"/>
          <w:lang w:eastAsia="es-ES_tradnl"/>
        </w:rPr>
        <w:t xml:space="preserve">de los hallazgos </w:t>
      </w:r>
      <w:r w:rsidR="00B33B09">
        <w:rPr>
          <w:rFonts w:ascii="Arial" w:eastAsia="Times New Roman" w:hAnsi="Arial" w:cs="Arial"/>
          <w:sz w:val="22"/>
          <w:szCs w:val="22"/>
          <w:lang w:eastAsia="es-ES_tradnl"/>
        </w:rPr>
        <w:t xml:space="preserve">con cumplimiento y efectividad del 100% </w:t>
      </w:r>
      <w:r w:rsidR="00316A08" w:rsidRPr="009E31A5">
        <w:rPr>
          <w:rFonts w:ascii="Arial" w:eastAsia="Times New Roman" w:hAnsi="Arial" w:cs="Arial"/>
          <w:sz w:val="22"/>
          <w:szCs w:val="22"/>
          <w:lang w:eastAsia="es-ES_tradnl"/>
        </w:rPr>
        <w:t>el plan de mejoramiento</w:t>
      </w:r>
      <w:r w:rsidR="00B33B09">
        <w:rPr>
          <w:rFonts w:ascii="Arial" w:eastAsia="Times New Roman" w:hAnsi="Arial" w:cs="Arial"/>
          <w:sz w:val="22"/>
          <w:szCs w:val="22"/>
          <w:lang w:eastAsia="es-ES_tradnl"/>
        </w:rPr>
        <w:t xml:space="preserve"> </w:t>
      </w:r>
      <w:r w:rsidR="00B33B09" w:rsidRPr="00A301D0">
        <w:rPr>
          <w:rFonts w:ascii="Arial" w:eastAsia="Times New Roman" w:hAnsi="Arial" w:cs="Arial"/>
          <w:sz w:val="22"/>
          <w:szCs w:val="22"/>
          <w:lang w:eastAsia="es-ES_tradnl"/>
        </w:rPr>
        <w:t>a 30</w:t>
      </w:r>
      <w:r w:rsidR="00A301D0" w:rsidRPr="00A301D0">
        <w:rPr>
          <w:rFonts w:ascii="Arial" w:eastAsia="Times New Roman" w:hAnsi="Arial" w:cs="Arial"/>
          <w:sz w:val="22"/>
          <w:szCs w:val="22"/>
          <w:lang w:eastAsia="es-ES_tradnl"/>
        </w:rPr>
        <w:t xml:space="preserve"> de junio de </w:t>
      </w:r>
      <w:r w:rsidR="00B33B09" w:rsidRPr="00A301D0">
        <w:rPr>
          <w:rFonts w:ascii="Arial" w:eastAsia="Times New Roman" w:hAnsi="Arial" w:cs="Arial"/>
          <w:sz w:val="22"/>
          <w:szCs w:val="22"/>
          <w:lang w:eastAsia="es-ES_tradnl"/>
        </w:rPr>
        <w:t>2023</w:t>
      </w:r>
      <w:r w:rsidR="00B33B09">
        <w:rPr>
          <w:rFonts w:ascii="Arial" w:eastAsia="Times New Roman" w:hAnsi="Arial" w:cs="Arial"/>
          <w:sz w:val="22"/>
          <w:szCs w:val="22"/>
          <w:lang w:eastAsia="es-ES_tradnl"/>
        </w:rPr>
        <w:t xml:space="preserve"> quedó conformado </w:t>
      </w:r>
      <w:r w:rsidR="00B33B09" w:rsidRPr="00B33B09">
        <w:rPr>
          <w:rFonts w:ascii="Arial" w:eastAsia="Times New Roman" w:hAnsi="Arial" w:cs="Arial"/>
          <w:sz w:val="22"/>
          <w:szCs w:val="22"/>
          <w:lang w:eastAsia="es-ES_tradnl"/>
        </w:rPr>
        <w:t>co</w:t>
      </w:r>
      <w:r w:rsidR="00316A08" w:rsidRPr="00B33B09">
        <w:rPr>
          <w:rFonts w:ascii="Arial" w:eastAsia="Times New Roman" w:hAnsi="Arial" w:cs="Arial"/>
          <w:sz w:val="22"/>
          <w:szCs w:val="22"/>
          <w:lang w:eastAsia="es-ES_tradnl"/>
        </w:rPr>
        <w:t>n</w:t>
      </w:r>
      <w:r w:rsidR="005510BF" w:rsidRPr="00B33B09">
        <w:rPr>
          <w:rFonts w:ascii="Arial" w:eastAsia="Times New Roman" w:hAnsi="Arial" w:cs="Arial"/>
          <w:sz w:val="22"/>
          <w:szCs w:val="22"/>
          <w:lang w:eastAsia="es-ES_tradnl"/>
        </w:rPr>
        <w:t xml:space="preserve"> </w:t>
      </w:r>
      <w:r w:rsidR="00B33B09">
        <w:rPr>
          <w:rFonts w:ascii="Arial" w:eastAsia="Times New Roman" w:hAnsi="Arial" w:cs="Arial"/>
          <w:sz w:val="22"/>
          <w:szCs w:val="22"/>
          <w:lang w:eastAsia="es-ES_tradnl"/>
        </w:rPr>
        <w:t>42</w:t>
      </w:r>
      <w:r w:rsidR="005510BF" w:rsidRPr="00B33B09">
        <w:rPr>
          <w:rFonts w:ascii="Arial" w:eastAsia="Times New Roman" w:hAnsi="Arial" w:cs="Arial"/>
          <w:sz w:val="22"/>
          <w:szCs w:val="22"/>
          <w:lang w:eastAsia="es-ES_tradnl"/>
        </w:rPr>
        <w:t xml:space="preserve"> hallazgos </w:t>
      </w:r>
      <w:r w:rsidR="00316A08" w:rsidRPr="00B33B09">
        <w:rPr>
          <w:rFonts w:ascii="Arial" w:eastAsia="Times New Roman" w:hAnsi="Arial" w:cs="Arial"/>
          <w:sz w:val="22"/>
          <w:szCs w:val="22"/>
          <w:lang w:eastAsia="es-ES_tradnl"/>
        </w:rPr>
        <w:t xml:space="preserve">y </w:t>
      </w:r>
      <w:r w:rsidR="00B33B09">
        <w:rPr>
          <w:rFonts w:ascii="Arial" w:eastAsia="Times New Roman" w:hAnsi="Arial" w:cs="Arial"/>
          <w:sz w:val="22"/>
          <w:szCs w:val="22"/>
          <w:lang w:eastAsia="es-ES_tradnl"/>
        </w:rPr>
        <w:t>67</w:t>
      </w:r>
      <w:r w:rsidR="005510BF" w:rsidRPr="00B33B09">
        <w:rPr>
          <w:rFonts w:ascii="Arial" w:eastAsia="Times New Roman" w:hAnsi="Arial" w:cs="Arial"/>
          <w:sz w:val="22"/>
          <w:szCs w:val="22"/>
          <w:lang w:eastAsia="es-ES_tradnl"/>
        </w:rPr>
        <w:t xml:space="preserve"> metas</w:t>
      </w:r>
      <w:r w:rsidR="00316A08" w:rsidRPr="009E31A5">
        <w:rPr>
          <w:rFonts w:ascii="Arial" w:eastAsia="Times New Roman" w:hAnsi="Arial" w:cs="Arial"/>
          <w:sz w:val="22"/>
          <w:szCs w:val="22"/>
          <w:lang w:eastAsia="es-ES_tradnl"/>
        </w:rPr>
        <w:t xml:space="preserve"> de las auditorías adelantadas a las vigencias 2019 a 202</w:t>
      </w:r>
      <w:r w:rsidR="00B33B09">
        <w:rPr>
          <w:rFonts w:ascii="Arial" w:eastAsia="Times New Roman" w:hAnsi="Arial" w:cs="Arial"/>
          <w:sz w:val="22"/>
          <w:szCs w:val="22"/>
          <w:lang w:eastAsia="es-ES_tradnl"/>
        </w:rPr>
        <w:t>1</w:t>
      </w:r>
      <w:r w:rsidR="007C2337">
        <w:rPr>
          <w:rFonts w:ascii="Arial" w:eastAsia="Times New Roman" w:hAnsi="Arial" w:cs="Arial"/>
          <w:sz w:val="22"/>
          <w:szCs w:val="22"/>
          <w:lang w:eastAsia="es-ES_tradnl"/>
        </w:rPr>
        <w:t xml:space="preserve">, que detalladas corresponden a: </w:t>
      </w:r>
      <w:r w:rsidR="007C2337">
        <w:rPr>
          <w:rFonts w:ascii="Arial" w:hAnsi="Arial" w:cs="Arial"/>
          <w:sz w:val="22"/>
          <w:szCs w:val="22"/>
        </w:rPr>
        <w:t>21</w:t>
      </w:r>
      <w:r w:rsidR="007C2337" w:rsidRPr="00B3795E">
        <w:rPr>
          <w:rFonts w:ascii="Arial" w:hAnsi="Arial" w:cs="Arial"/>
          <w:sz w:val="22"/>
          <w:szCs w:val="22"/>
        </w:rPr>
        <w:t xml:space="preserve"> metas de </w:t>
      </w:r>
      <w:r w:rsidR="007C2337">
        <w:rPr>
          <w:rFonts w:ascii="Arial" w:hAnsi="Arial" w:cs="Arial"/>
          <w:sz w:val="22"/>
          <w:szCs w:val="22"/>
        </w:rPr>
        <w:t>10</w:t>
      </w:r>
      <w:r w:rsidR="007C2337" w:rsidRPr="00B3795E">
        <w:rPr>
          <w:rFonts w:ascii="Arial" w:hAnsi="Arial" w:cs="Arial"/>
          <w:sz w:val="22"/>
          <w:szCs w:val="22"/>
        </w:rPr>
        <w:t xml:space="preserve"> hallazgos de la </w:t>
      </w:r>
      <w:r w:rsidR="007C2337">
        <w:rPr>
          <w:rFonts w:ascii="Arial" w:hAnsi="Arial" w:cs="Arial"/>
          <w:sz w:val="22"/>
          <w:szCs w:val="22"/>
        </w:rPr>
        <w:t xml:space="preserve">ARF </w:t>
      </w:r>
      <w:r w:rsidR="007C2337" w:rsidRPr="00B3795E">
        <w:rPr>
          <w:rFonts w:ascii="Arial" w:hAnsi="Arial" w:cs="Arial"/>
          <w:sz w:val="22"/>
          <w:szCs w:val="22"/>
        </w:rPr>
        <w:t xml:space="preserve">2019, </w:t>
      </w:r>
      <w:r w:rsidR="007C2337">
        <w:rPr>
          <w:rFonts w:ascii="Arial" w:hAnsi="Arial" w:cs="Arial"/>
          <w:sz w:val="22"/>
          <w:szCs w:val="22"/>
        </w:rPr>
        <w:t>29</w:t>
      </w:r>
      <w:r w:rsidR="007C2337" w:rsidRPr="00B3795E">
        <w:rPr>
          <w:rFonts w:ascii="Arial" w:hAnsi="Arial" w:cs="Arial"/>
          <w:sz w:val="22"/>
          <w:szCs w:val="22"/>
        </w:rPr>
        <w:t xml:space="preserve"> metas de </w:t>
      </w:r>
      <w:r w:rsidR="007C2337">
        <w:rPr>
          <w:rFonts w:ascii="Arial" w:hAnsi="Arial" w:cs="Arial"/>
          <w:sz w:val="22"/>
          <w:szCs w:val="22"/>
        </w:rPr>
        <w:t>21</w:t>
      </w:r>
      <w:r w:rsidR="007C2337" w:rsidRPr="00B3795E">
        <w:rPr>
          <w:rFonts w:ascii="Arial" w:hAnsi="Arial" w:cs="Arial"/>
          <w:sz w:val="22"/>
          <w:szCs w:val="22"/>
        </w:rPr>
        <w:t xml:space="preserve"> hallazgos de la </w:t>
      </w:r>
      <w:r w:rsidR="007C2337">
        <w:rPr>
          <w:rFonts w:ascii="Arial" w:hAnsi="Arial" w:cs="Arial"/>
          <w:sz w:val="22"/>
          <w:szCs w:val="22"/>
        </w:rPr>
        <w:t xml:space="preserve">ARF </w:t>
      </w:r>
      <w:r w:rsidR="007C2337" w:rsidRPr="00B3795E">
        <w:rPr>
          <w:rFonts w:ascii="Arial" w:hAnsi="Arial" w:cs="Arial"/>
          <w:sz w:val="22"/>
          <w:szCs w:val="22"/>
        </w:rPr>
        <w:t>20</w:t>
      </w:r>
      <w:r w:rsidR="007C2337">
        <w:rPr>
          <w:rFonts w:ascii="Arial" w:hAnsi="Arial" w:cs="Arial"/>
          <w:sz w:val="22"/>
          <w:szCs w:val="22"/>
        </w:rPr>
        <w:t>20 y 17</w:t>
      </w:r>
      <w:r w:rsidR="007C2337" w:rsidRPr="00B3795E">
        <w:rPr>
          <w:rFonts w:ascii="Arial" w:hAnsi="Arial" w:cs="Arial"/>
          <w:sz w:val="22"/>
          <w:szCs w:val="22"/>
        </w:rPr>
        <w:t xml:space="preserve"> metas de </w:t>
      </w:r>
      <w:r w:rsidR="007C2337">
        <w:rPr>
          <w:rFonts w:ascii="Arial" w:hAnsi="Arial" w:cs="Arial"/>
          <w:sz w:val="22"/>
          <w:szCs w:val="22"/>
        </w:rPr>
        <w:t>11</w:t>
      </w:r>
      <w:r w:rsidR="007C2337" w:rsidRPr="00B3795E">
        <w:rPr>
          <w:rFonts w:ascii="Arial" w:hAnsi="Arial" w:cs="Arial"/>
          <w:sz w:val="22"/>
          <w:szCs w:val="22"/>
        </w:rPr>
        <w:t xml:space="preserve"> hallazgos de la </w:t>
      </w:r>
      <w:r w:rsidR="007C2337">
        <w:rPr>
          <w:rFonts w:ascii="Arial" w:hAnsi="Arial" w:cs="Arial"/>
          <w:sz w:val="22"/>
          <w:szCs w:val="22"/>
        </w:rPr>
        <w:t xml:space="preserve">ARF </w:t>
      </w:r>
      <w:r w:rsidR="007C2337" w:rsidRPr="00B3795E">
        <w:rPr>
          <w:rFonts w:ascii="Arial" w:hAnsi="Arial" w:cs="Arial"/>
          <w:sz w:val="22"/>
          <w:szCs w:val="22"/>
        </w:rPr>
        <w:t xml:space="preserve">2021, </w:t>
      </w:r>
      <w:r w:rsidR="007C2337">
        <w:rPr>
          <w:rFonts w:ascii="Arial" w:hAnsi="Arial" w:cs="Arial"/>
          <w:sz w:val="22"/>
          <w:szCs w:val="22"/>
        </w:rPr>
        <w:t>como se aprecia a continuación.</w:t>
      </w:r>
    </w:p>
    <w:p w14:paraId="3F57A4B9" w14:textId="77777777" w:rsidR="009E11D6" w:rsidRPr="009E31A5" w:rsidRDefault="009E11D6" w:rsidP="00CB6A01">
      <w:pPr>
        <w:jc w:val="both"/>
        <w:rPr>
          <w:rFonts w:ascii="Arial" w:eastAsia="Times New Roman" w:hAnsi="Arial" w:cs="Arial"/>
          <w:sz w:val="22"/>
          <w:szCs w:val="22"/>
          <w:lang w:eastAsia="es-ES_tradnl"/>
        </w:rPr>
      </w:pPr>
    </w:p>
    <w:p w14:paraId="25BA67BB" w14:textId="58BE54AA" w:rsidR="00706C95" w:rsidRPr="009A7379" w:rsidRDefault="00DD144B" w:rsidP="00706C95">
      <w:pPr>
        <w:pStyle w:val="NormalWeb"/>
        <w:spacing w:before="0" w:beforeAutospacing="0" w:after="0" w:afterAutospacing="0"/>
        <w:contextualSpacing/>
        <w:jc w:val="center"/>
        <w:rPr>
          <w:rFonts w:ascii="Arial" w:hAnsi="Arial" w:cs="Arial"/>
          <w:b/>
          <w:bCs/>
          <w:i/>
          <w:iCs/>
          <w:sz w:val="20"/>
          <w:szCs w:val="22"/>
        </w:rPr>
      </w:pPr>
      <w:r w:rsidRPr="00A301D0">
        <w:rPr>
          <w:rFonts w:ascii="Arial" w:hAnsi="Arial" w:cs="Arial"/>
          <w:b/>
          <w:bCs/>
          <w:i/>
          <w:iCs/>
          <w:sz w:val="22"/>
          <w:szCs w:val="22"/>
        </w:rPr>
        <w:t>TABLA N°.1. TOTAL, PLAN DE MEJORAMIENTO CON CORTE 30-06-2023</w:t>
      </w:r>
    </w:p>
    <w:p w14:paraId="2B6A076F" w14:textId="77777777" w:rsidR="00F411A7" w:rsidRPr="00DD144B" w:rsidRDefault="00F411A7" w:rsidP="00706C95">
      <w:pPr>
        <w:pStyle w:val="NormalWeb"/>
        <w:spacing w:before="0" w:beforeAutospacing="0" w:after="0" w:afterAutospacing="0"/>
        <w:contextualSpacing/>
        <w:jc w:val="center"/>
        <w:rPr>
          <w:rFonts w:ascii="Arial" w:hAnsi="Arial" w:cs="Arial"/>
          <w:b/>
          <w:bCs/>
          <w:i/>
          <w:iCs/>
          <w:sz w:val="16"/>
          <w:szCs w:val="18"/>
        </w:rPr>
      </w:pP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60" w:firstRow="1" w:lastRow="1" w:firstColumn="0" w:lastColumn="0" w:noHBand="0" w:noVBand="1"/>
      </w:tblPr>
      <w:tblGrid>
        <w:gridCol w:w="3823"/>
        <w:gridCol w:w="1121"/>
        <w:gridCol w:w="728"/>
        <w:gridCol w:w="727"/>
        <w:gridCol w:w="728"/>
        <w:gridCol w:w="762"/>
      </w:tblGrid>
      <w:tr w:rsidR="00986794" w:rsidRPr="009E31A5" w14:paraId="6B168D84" w14:textId="14C8DE44" w:rsidTr="009E11D6">
        <w:trPr>
          <w:trHeight w:val="227"/>
          <w:tblHeader/>
          <w:jc w:val="center"/>
        </w:trPr>
        <w:tc>
          <w:tcPr>
            <w:tcW w:w="3823" w:type="dxa"/>
            <w:tcBorders>
              <w:top w:val="single" w:sz="4" w:space="0" w:color="4472C4"/>
              <w:left w:val="single" w:sz="4" w:space="0" w:color="4472C4"/>
              <w:bottom w:val="single" w:sz="4" w:space="0" w:color="4472C4"/>
              <w:right w:val="nil"/>
            </w:tcBorders>
            <w:shd w:val="clear" w:color="auto" w:fill="4472C4"/>
            <w:noWrap/>
            <w:vAlign w:val="center"/>
            <w:hideMark/>
          </w:tcPr>
          <w:p w14:paraId="7B2A45E6" w14:textId="77777777" w:rsidR="00986794" w:rsidRPr="009E31A5" w:rsidRDefault="00986794" w:rsidP="001B21ED">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AREA RESPONSABLE</w:t>
            </w:r>
          </w:p>
        </w:tc>
        <w:tc>
          <w:tcPr>
            <w:tcW w:w="1121" w:type="dxa"/>
            <w:tcBorders>
              <w:top w:val="single" w:sz="4" w:space="0" w:color="4472C4"/>
              <w:left w:val="nil"/>
              <w:bottom w:val="single" w:sz="4" w:space="0" w:color="4472C4"/>
              <w:right w:val="nil"/>
            </w:tcBorders>
            <w:shd w:val="clear" w:color="auto" w:fill="4472C4"/>
            <w:vAlign w:val="center"/>
          </w:tcPr>
          <w:p w14:paraId="238EFA38" w14:textId="187ADB44" w:rsidR="00986794" w:rsidRPr="009E31A5" w:rsidRDefault="00986794" w:rsidP="001B21ED">
            <w:pPr>
              <w:jc w:val="center"/>
              <w:rPr>
                <w:rFonts w:ascii="Arial" w:hAnsi="Arial" w:cs="Arial"/>
                <w:b/>
                <w:bCs/>
                <w:color w:val="FFFFFF"/>
                <w:sz w:val="14"/>
                <w:szCs w:val="14"/>
                <w:lang w:eastAsia="es-CO"/>
              </w:rPr>
            </w:pPr>
            <w:r>
              <w:rPr>
                <w:rFonts w:ascii="Arial" w:hAnsi="Arial" w:cs="Arial"/>
                <w:b/>
                <w:bCs/>
                <w:color w:val="FFFFFF"/>
                <w:sz w:val="14"/>
                <w:szCs w:val="14"/>
                <w:lang w:eastAsia="es-CO"/>
              </w:rPr>
              <w:t xml:space="preserve">No. </w:t>
            </w:r>
            <w:r w:rsidRPr="009E31A5">
              <w:rPr>
                <w:rFonts w:ascii="Arial" w:hAnsi="Arial" w:cs="Arial"/>
                <w:b/>
                <w:bCs/>
                <w:color w:val="FFFFFF"/>
                <w:sz w:val="14"/>
                <w:szCs w:val="14"/>
                <w:lang w:eastAsia="es-CO"/>
              </w:rPr>
              <w:t xml:space="preserve"> Hallazgo y </w:t>
            </w:r>
            <w:r>
              <w:rPr>
                <w:rFonts w:ascii="Arial" w:hAnsi="Arial" w:cs="Arial"/>
                <w:b/>
                <w:bCs/>
                <w:color w:val="FFFFFF"/>
                <w:sz w:val="14"/>
                <w:szCs w:val="14"/>
                <w:lang w:eastAsia="es-CO"/>
              </w:rPr>
              <w:t xml:space="preserve">Cantidad </w:t>
            </w:r>
            <w:r w:rsidRPr="009E31A5">
              <w:rPr>
                <w:rFonts w:ascii="Arial" w:hAnsi="Arial" w:cs="Arial"/>
                <w:b/>
                <w:bCs/>
                <w:color w:val="FFFFFF"/>
                <w:sz w:val="14"/>
                <w:szCs w:val="14"/>
                <w:lang w:eastAsia="es-CO"/>
              </w:rPr>
              <w:t>Metas</w:t>
            </w:r>
          </w:p>
        </w:tc>
        <w:tc>
          <w:tcPr>
            <w:tcW w:w="728" w:type="dxa"/>
            <w:tcBorders>
              <w:top w:val="single" w:sz="4" w:space="0" w:color="4472C4"/>
              <w:left w:val="nil"/>
              <w:bottom w:val="single" w:sz="4" w:space="0" w:color="4472C4"/>
              <w:right w:val="nil"/>
            </w:tcBorders>
            <w:shd w:val="clear" w:color="auto" w:fill="4472C4"/>
            <w:vAlign w:val="center"/>
          </w:tcPr>
          <w:p w14:paraId="73002C77" w14:textId="77777777" w:rsidR="00986794" w:rsidRDefault="00986794" w:rsidP="001B21ED">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2019</w:t>
            </w:r>
          </w:p>
          <w:p w14:paraId="284CE00F" w14:textId="0BC1AC69" w:rsidR="00986794" w:rsidRPr="009E31A5" w:rsidRDefault="00986794" w:rsidP="001B21ED">
            <w:pPr>
              <w:jc w:val="center"/>
              <w:rPr>
                <w:rFonts w:ascii="Arial" w:hAnsi="Arial" w:cs="Arial"/>
                <w:b/>
                <w:bCs/>
                <w:color w:val="FFFFFF"/>
                <w:sz w:val="14"/>
                <w:szCs w:val="14"/>
                <w:lang w:eastAsia="es-CO"/>
              </w:rPr>
            </w:pPr>
            <w:r>
              <w:rPr>
                <w:rFonts w:ascii="Arial" w:hAnsi="Arial" w:cs="Arial"/>
                <w:b/>
                <w:bCs/>
                <w:color w:val="FFFFFF"/>
                <w:sz w:val="14"/>
                <w:szCs w:val="14"/>
                <w:lang w:eastAsia="es-CO"/>
              </w:rPr>
              <w:t># H. y M.</w:t>
            </w:r>
          </w:p>
        </w:tc>
        <w:tc>
          <w:tcPr>
            <w:tcW w:w="727" w:type="dxa"/>
            <w:tcBorders>
              <w:top w:val="single" w:sz="4" w:space="0" w:color="4472C4"/>
              <w:left w:val="nil"/>
              <w:bottom w:val="single" w:sz="4" w:space="0" w:color="4472C4"/>
              <w:right w:val="nil"/>
            </w:tcBorders>
            <w:shd w:val="clear" w:color="auto" w:fill="4472C4"/>
            <w:vAlign w:val="center"/>
          </w:tcPr>
          <w:p w14:paraId="138BDD13" w14:textId="646CB350" w:rsidR="00986794" w:rsidRDefault="00986794" w:rsidP="009E31A5">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20</w:t>
            </w:r>
            <w:r>
              <w:rPr>
                <w:rFonts w:ascii="Arial" w:hAnsi="Arial" w:cs="Arial"/>
                <w:b/>
                <w:bCs/>
                <w:color w:val="FFFFFF"/>
                <w:sz w:val="14"/>
                <w:szCs w:val="14"/>
                <w:lang w:eastAsia="es-CO"/>
              </w:rPr>
              <w:t>20</w:t>
            </w:r>
          </w:p>
          <w:p w14:paraId="5C1F8602" w14:textId="77ACE09E" w:rsidR="00986794" w:rsidRPr="009E31A5" w:rsidRDefault="00986794" w:rsidP="009E31A5">
            <w:pPr>
              <w:jc w:val="center"/>
              <w:rPr>
                <w:rFonts w:ascii="Arial" w:hAnsi="Arial" w:cs="Arial"/>
                <w:b/>
                <w:bCs/>
                <w:color w:val="FFFFFF"/>
                <w:sz w:val="14"/>
                <w:szCs w:val="14"/>
                <w:lang w:eastAsia="es-CO"/>
              </w:rPr>
            </w:pPr>
            <w:r>
              <w:rPr>
                <w:rFonts w:ascii="Arial" w:hAnsi="Arial" w:cs="Arial"/>
                <w:b/>
                <w:bCs/>
                <w:color w:val="FFFFFF"/>
                <w:sz w:val="14"/>
                <w:szCs w:val="14"/>
                <w:lang w:eastAsia="es-CO"/>
              </w:rPr>
              <w:t># H. y M.</w:t>
            </w:r>
          </w:p>
        </w:tc>
        <w:tc>
          <w:tcPr>
            <w:tcW w:w="728" w:type="dxa"/>
            <w:tcBorders>
              <w:top w:val="single" w:sz="4" w:space="0" w:color="4472C4"/>
              <w:left w:val="nil"/>
              <w:bottom w:val="single" w:sz="4" w:space="0" w:color="4472C4"/>
              <w:right w:val="nil"/>
            </w:tcBorders>
            <w:shd w:val="clear" w:color="auto" w:fill="4472C4"/>
            <w:vAlign w:val="center"/>
          </w:tcPr>
          <w:p w14:paraId="1F243702" w14:textId="4A6A2DBA" w:rsidR="00986794" w:rsidRDefault="00986794" w:rsidP="009E31A5">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20</w:t>
            </w:r>
            <w:r>
              <w:rPr>
                <w:rFonts w:ascii="Arial" w:hAnsi="Arial" w:cs="Arial"/>
                <w:b/>
                <w:bCs/>
                <w:color w:val="FFFFFF"/>
                <w:sz w:val="14"/>
                <w:szCs w:val="14"/>
                <w:lang w:eastAsia="es-CO"/>
              </w:rPr>
              <w:t>2</w:t>
            </w:r>
            <w:r w:rsidRPr="009E31A5">
              <w:rPr>
                <w:rFonts w:ascii="Arial" w:hAnsi="Arial" w:cs="Arial"/>
                <w:b/>
                <w:bCs/>
                <w:color w:val="FFFFFF"/>
                <w:sz w:val="14"/>
                <w:szCs w:val="14"/>
                <w:lang w:eastAsia="es-CO"/>
              </w:rPr>
              <w:t>1</w:t>
            </w:r>
          </w:p>
          <w:p w14:paraId="7F3FF1AF" w14:textId="4B5F0937" w:rsidR="00986794" w:rsidRPr="009E31A5" w:rsidRDefault="00986794" w:rsidP="009E31A5">
            <w:pPr>
              <w:jc w:val="center"/>
              <w:rPr>
                <w:rFonts w:ascii="Arial" w:hAnsi="Arial" w:cs="Arial"/>
                <w:b/>
                <w:bCs/>
                <w:color w:val="FFFFFF"/>
                <w:sz w:val="14"/>
                <w:szCs w:val="14"/>
                <w:lang w:eastAsia="es-CO"/>
              </w:rPr>
            </w:pPr>
            <w:r>
              <w:rPr>
                <w:rFonts w:ascii="Arial" w:hAnsi="Arial" w:cs="Arial"/>
                <w:b/>
                <w:bCs/>
                <w:color w:val="FFFFFF"/>
                <w:sz w:val="14"/>
                <w:szCs w:val="14"/>
                <w:lang w:eastAsia="es-CO"/>
              </w:rPr>
              <w:t># H. y M.</w:t>
            </w:r>
          </w:p>
        </w:tc>
        <w:tc>
          <w:tcPr>
            <w:tcW w:w="762" w:type="dxa"/>
            <w:tcBorders>
              <w:top w:val="single" w:sz="4" w:space="0" w:color="4472C4"/>
              <w:left w:val="nil"/>
              <w:bottom w:val="single" w:sz="4" w:space="0" w:color="4472C4"/>
              <w:right w:val="nil"/>
            </w:tcBorders>
            <w:shd w:val="clear" w:color="auto" w:fill="4472C4"/>
            <w:vAlign w:val="center"/>
          </w:tcPr>
          <w:p w14:paraId="247EE940" w14:textId="7D695FB1" w:rsidR="00986794" w:rsidRPr="009E31A5" w:rsidRDefault="00986794" w:rsidP="009E31A5">
            <w:pPr>
              <w:jc w:val="center"/>
              <w:rPr>
                <w:rFonts w:ascii="Arial" w:hAnsi="Arial" w:cs="Arial"/>
                <w:b/>
                <w:bCs/>
                <w:color w:val="FFFFFF"/>
                <w:sz w:val="14"/>
                <w:szCs w:val="14"/>
                <w:lang w:eastAsia="es-CO"/>
              </w:rPr>
            </w:pPr>
            <w:r w:rsidRPr="009E31A5">
              <w:rPr>
                <w:rFonts w:ascii="Arial" w:hAnsi="Arial" w:cs="Arial"/>
                <w:b/>
                <w:bCs/>
                <w:color w:val="FFFFFF"/>
                <w:sz w:val="14"/>
                <w:szCs w:val="14"/>
                <w:lang w:eastAsia="es-CO"/>
              </w:rPr>
              <w:t>Total</w:t>
            </w:r>
            <w:r>
              <w:rPr>
                <w:rFonts w:ascii="Arial" w:hAnsi="Arial" w:cs="Arial"/>
                <w:b/>
                <w:bCs/>
                <w:color w:val="FFFFFF"/>
                <w:sz w:val="14"/>
                <w:szCs w:val="14"/>
                <w:lang w:eastAsia="es-CO"/>
              </w:rPr>
              <w:t xml:space="preserve"> m</w:t>
            </w:r>
            <w:r w:rsidRPr="009E31A5">
              <w:rPr>
                <w:rFonts w:ascii="Arial" w:hAnsi="Arial" w:cs="Arial"/>
                <w:b/>
                <w:bCs/>
                <w:color w:val="FFFFFF"/>
                <w:sz w:val="14"/>
                <w:szCs w:val="14"/>
                <w:lang w:eastAsia="es-CO"/>
              </w:rPr>
              <w:t>etas</w:t>
            </w:r>
          </w:p>
        </w:tc>
      </w:tr>
      <w:tr w:rsidR="00986794" w:rsidRPr="009E31A5" w14:paraId="04300C50" w14:textId="188270C1" w:rsidTr="009E11D6">
        <w:trPr>
          <w:trHeight w:val="227"/>
          <w:jc w:val="center"/>
        </w:trPr>
        <w:tc>
          <w:tcPr>
            <w:tcW w:w="3823" w:type="dxa"/>
            <w:shd w:val="clear" w:color="auto" w:fill="auto"/>
            <w:noWrap/>
            <w:vAlign w:val="center"/>
          </w:tcPr>
          <w:p w14:paraId="4E0C55CC" w14:textId="2B8338E6" w:rsidR="00986794" w:rsidRPr="00DD144B" w:rsidRDefault="00986794" w:rsidP="001B21ED">
            <w:pPr>
              <w:rPr>
                <w:rFonts w:ascii="Arial" w:hAnsi="Arial" w:cs="Arial"/>
                <w:sz w:val="16"/>
                <w:szCs w:val="14"/>
                <w:lang w:eastAsia="es-CO"/>
              </w:rPr>
            </w:pPr>
            <w:r w:rsidRPr="00DD144B">
              <w:rPr>
                <w:rFonts w:ascii="Arial" w:hAnsi="Arial" w:cs="Arial"/>
                <w:sz w:val="16"/>
                <w:szCs w:val="14"/>
                <w:lang w:eastAsia="es-CO"/>
              </w:rPr>
              <w:t>DIRECCIÓN DE ATENCIÓN AL USUARIO, INTERVENCIÓN TEMPRANA Y ASIGNACIONES</w:t>
            </w:r>
          </w:p>
        </w:tc>
        <w:tc>
          <w:tcPr>
            <w:tcW w:w="1121" w:type="dxa"/>
            <w:vAlign w:val="center"/>
          </w:tcPr>
          <w:p w14:paraId="17FC1673" w14:textId="568EB886"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24 (2)</w:t>
            </w:r>
          </w:p>
        </w:tc>
        <w:tc>
          <w:tcPr>
            <w:tcW w:w="728" w:type="dxa"/>
            <w:vAlign w:val="center"/>
          </w:tcPr>
          <w:p w14:paraId="30B89811" w14:textId="77777777" w:rsidR="00986794" w:rsidRPr="00DD144B" w:rsidRDefault="00986794" w:rsidP="001B21ED">
            <w:pPr>
              <w:jc w:val="center"/>
              <w:rPr>
                <w:rFonts w:ascii="Arial" w:hAnsi="Arial" w:cs="Arial"/>
                <w:sz w:val="16"/>
                <w:szCs w:val="14"/>
                <w:lang w:eastAsia="es-CO"/>
              </w:rPr>
            </w:pPr>
          </w:p>
        </w:tc>
        <w:tc>
          <w:tcPr>
            <w:tcW w:w="727" w:type="dxa"/>
            <w:vAlign w:val="center"/>
          </w:tcPr>
          <w:p w14:paraId="7BC4DC19" w14:textId="47D7C7B0"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24 (2)</w:t>
            </w:r>
          </w:p>
        </w:tc>
        <w:tc>
          <w:tcPr>
            <w:tcW w:w="728" w:type="dxa"/>
            <w:vAlign w:val="center"/>
          </w:tcPr>
          <w:p w14:paraId="369A4248" w14:textId="22F2FA8C" w:rsidR="00986794" w:rsidRPr="00DD144B" w:rsidRDefault="00986794" w:rsidP="001B21ED">
            <w:pPr>
              <w:jc w:val="center"/>
              <w:rPr>
                <w:rFonts w:ascii="Arial" w:hAnsi="Arial" w:cs="Arial"/>
                <w:sz w:val="16"/>
                <w:szCs w:val="14"/>
                <w:lang w:eastAsia="es-CO"/>
              </w:rPr>
            </w:pPr>
          </w:p>
        </w:tc>
        <w:tc>
          <w:tcPr>
            <w:tcW w:w="762" w:type="dxa"/>
            <w:vAlign w:val="center"/>
          </w:tcPr>
          <w:p w14:paraId="7503C06A" w14:textId="7AC86566"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2</w:t>
            </w:r>
          </w:p>
        </w:tc>
      </w:tr>
      <w:tr w:rsidR="00986794" w:rsidRPr="009E31A5" w14:paraId="36E3C184" w14:textId="45B63A55" w:rsidTr="009E11D6">
        <w:trPr>
          <w:trHeight w:val="227"/>
          <w:jc w:val="center"/>
        </w:trPr>
        <w:tc>
          <w:tcPr>
            <w:tcW w:w="3823" w:type="dxa"/>
            <w:shd w:val="clear" w:color="auto" w:fill="auto"/>
            <w:noWrap/>
            <w:vAlign w:val="center"/>
          </w:tcPr>
          <w:p w14:paraId="317AC50C" w14:textId="7E13E054" w:rsidR="00986794" w:rsidRPr="00DD144B" w:rsidRDefault="00986794" w:rsidP="001B21ED">
            <w:pPr>
              <w:rPr>
                <w:rFonts w:ascii="Arial" w:hAnsi="Arial" w:cs="Arial"/>
                <w:sz w:val="16"/>
                <w:szCs w:val="14"/>
                <w:lang w:eastAsia="es-CO"/>
              </w:rPr>
            </w:pPr>
            <w:r w:rsidRPr="00DD144B">
              <w:rPr>
                <w:rFonts w:ascii="Arial" w:hAnsi="Arial" w:cs="Arial"/>
                <w:sz w:val="16"/>
                <w:szCs w:val="14"/>
                <w:lang w:eastAsia="es-CO"/>
              </w:rPr>
              <w:t>SUBDIRECCIÓN DE GESTION CONTRACTUAL</w:t>
            </w:r>
          </w:p>
        </w:tc>
        <w:tc>
          <w:tcPr>
            <w:tcW w:w="1121" w:type="dxa"/>
            <w:vAlign w:val="center"/>
          </w:tcPr>
          <w:p w14:paraId="6CBF9B10"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6 (2)</w:t>
            </w:r>
          </w:p>
          <w:p w14:paraId="74043CFD" w14:textId="2346FD9B"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51 (2)</w:t>
            </w:r>
          </w:p>
          <w:p w14:paraId="6A79D948" w14:textId="5B57B9CA"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67 (2)</w:t>
            </w:r>
          </w:p>
          <w:p w14:paraId="5AA909BB" w14:textId="13065BC9"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68 (1)</w:t>
            </w:r>
          </w:p>
          <w:p w14:paraId="1F46B641"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70 (1)</w:t>
            </w:r>
          </w:p>
          <w:p w14:paraId="365F9770"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75 (2)</w:t>
            </w:r>
          </w:p>
          <w:p w14:paraId="561D2FB9"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77 (2)</w:t>
            </w:r>
          </w:p>
          <w:p w14:paraId="20843687"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78 (2)</w:t>
            </w:r>
          </w:p>
          <w:p w14:paraId="41DDC550" w14:textId="1A008013"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79 (2)</w:t>
            </w:r>
          </w:p>
        </w:tc>
        <w:tc>
          <w:tcPr>
            <w:tcW w:w="728" w:type="dxa"/>
            <w:vAlign w:val="center"/>
          </w:tcPr>
          <w:p w14:paraId="11EFA6E3" w14:textId="1068F215" w:rsidR="00986794" w:rsidRPr="00DD144B" w:rsidRDefault="00986794" w:rsidP="009E11D6">
            <w:pPr>
              <w:jc w:val="center"/>
              <w:rPr>
                <w:rFonts w:ascii="Arial" w:hAnsi="Arial" w:cs="Arial"/>
                <w:sz w:val="16"/>
                <w:szCs w:val="14"/>
                <w:lang w:eastAsia="es-CO"/>
              </w:rPr>
            </w:pPr>
            <w:r w:rsidRPr="00DD144B">
              <w:rPr>
                <w:rFonts w:ascii="Arial" w:hAnsi="Arial" w:cs="Arial"/>
                <w:sz w:val="16"/>
                <w:szCs w:val="14"/>
                <w:lang w:eastAsia="es-CO"/>
              </w:rPr>
              <w:t>51 (2)</w:t>
            </w:r>
          </w:p>
          <w:p w14:paraId="10B40DB9" w14:textId="079B120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67 (2)</w:t>
            </w:r>
          </w:p>
          <w:p w14:paraId="5E6AC6C1" w14:textId="2CBCBA03"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68 (1)</w:t>
            </w:r>
          </w:p>
          <w:p w14:paraId="0B5DDE35"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70 (1)</w:t>
            </w:r>
          </w:p>
          <w:p w14:paraId="6B9D25D3"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75 (2)</w:t>
            </w:r>
          </w:p>
          <w:p w14:paraId="2A77283D"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77 (2)</w:t>
            </w:r>
          </w:p>
          <w:p w14:paraId="06BE5ECE"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78 (2)</w:t>
            </w:r>
          </w:p>
          <w:p w14:paraId="29FF307B" w14:textId="7B9CEC0D"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79 (2)</w:t>
            </w:r>
          </w:p>
        </w:tc>
        <w:tc>
          <w:tcPr>
            <w:tcW w:w="727" w:type="dxa"/>
            <w:vAlign w:val="center"/>
          </w:tcPr>
          <w:p w14:paraId="12283C6E" w14:textId="34AE9E64" w:rsidR="00986794" w:rsidRPr="00DD144B" w:rsidRDefault="00986794" w:rsidP="001B21ED">
            <w:pPr>
              <w:jc w:val="center"/>
              <w:rPr>
                <w:rFonts w:ascii="Arial" w:hAnsi="Arial" w:cs="Arial"/>
                <w:sz w:val="16"/>
                <w:szCs w:val="14"/>
                <w:lang w:eastAsia="es-CO"/>
              </w:rPr>
            </w:pPr>
          </w:p>
        </w:tc>
        <w:tc>
          <w:tcPr>
            <w:tcW w:w="728" w:type="dxa"/>
            <w:vAlign w:val="center"/>
          </w:tcPr>
          <w:p w14:paraId="738E3FEB" w14:textId="5E8180F3" w:rsidR="00986794" w:rsidRPr="00DD144B" w:rsidRDefault="00986794" w:rsidP="00A301D0">
            <w:pPr>
              <w:jc w:val="center"/>
              <w:rPr>
                <w:rFonts w:ascii="Arial" w:hAnsi="Arial" w:cs="Arial"/>
                <w:sz w:val="16"/>
                <w:szCs w:val="14"/>
                <w:lang w:eastAsia="es-CO"/>
              </w:rPr>
            </w:pPr>
            <w:r w:rsidRPr="00DD144B">
              <w:rPr>
                <w:rFonts w:ascii="Arial" w:hAnsi="Arial" w:cs="Arial"/>
                <w:sz w:val="16"/>
                <w:szCs w:val="14"/>
                <w:lang w:eastAsia="es-CO"/>
              </w:rPr>
              <w:t>6 (2)</w:t>
            </w:r>
          </w:p>
        </w:tc>
        <w:tc>
          <w:tcPr>
            <w:tcW w:w="762" w:type="dxa"/>
            <w:vAlign w:val="center"/>
          </w:tcPr>
          <w:p w14:paraId="243A028D" w14:textId="5537FBFD"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16</w:t>
            </w:r>
          </w:p>
        </w:tc>
      </w:tr>
      <w:tr w:rsidR="00986794" w:rsidRPr="009E31A5" w14:paraId="3CEE89BE" w14:textId="4B3E6546" w:rsidTr="009E11D6">
        <w:trPr>
          <w:trHeight w:val="227"/>
          <w:jc w:val="center"/>
        </w:trPr>
        <w:tc>
          <w:tcPr>
            <w:tcW w:w="3823" w:type="dxa"/>
            <w:shd w:val="clear" w:color="auto" w:fill="auto"/>
            <w:noWrap/>
            <w:vAlign w:val="center"/>
          </w:tcPr>
          <w:p w14:paraId="4E4DD481" w14:textId="7CE7E82A" w:rsidR="00986794" w:rsidRPr="00DD144B" w:rsidRDefault="00986794" w:rsidP="001B21ED">
            <w:pPr>
              <w:rPr>
                <w:rFonts w:ascii="Arial" w:hAnsi="Arial" w:cs="Arial"/>
                <w:sz w:val="16"/>
                <w:szCs w:val="14"/>
                <w:lang w:eastAsia="es-CO"/>
              </w:rPr>
            </w:pPr>
            <w:r w:rsidRPr="00DD144B">
              <w:rPr>
                <w:rFonts w:ascii="Arial" w:hAnsi="Arial" w:cs="Arial"/>
                <w:sz w:val="16"/>
                <w:szCs w:val="14"/>
                <w:lang w:eastAsia="es-CO"/>
              </w:rPr>
              <w:lastRenderedPageBreak/>
              <w:t>SUBDIRECCIÓN DE BIENES</w:t>
            </w:r>
          </w:p>
        </w:tc>
        <w:tc>
          <w:tcPr>
            <w:tcW w:w="1121" w:type="dxa"/>
            <w:vAlign w:val="center"/>
          </w:tcPr>
          <w:p w14:paraId="01F52ED1"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6 (1)</w:t>
            </w:r>
          </w:p>
          <w:p w14:paraId="4ACC3FFB"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 (1)</w:t>
            </w:r>
          </w:p>
          <w:p w14:paraId="1F60383F"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12 (1)</w:t>
            </w:r>
          </w:p>
          <w:p w14:paraId="609B4254"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13 (3)</w:t>
            </w:r>
          </w:p>
          <w:p w14:paraId="595AE6F7"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19 (2)</w:t>
            </w:r>
          </w:p>
          <w:p w14:paraId="079B4131"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58 (1)</w:t>
            </w:r>
          </w:p>
          <w:p w14:paraId="0CC3DA89" w14:textId="69C667C1"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75 (2)</w:t>
            </w:r>
          </w:p>
        </w:tc>
        <w:tc>
          <w:tcPr>
            <w:tcW w:w="728" w:type="dxa"/>
            <w:vAlign w:val="center"/>
          </w:tcPr>
          <w:p w14:paraId="46D302B1" w14:textId="26CA9495"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75 (2)</w:t>
            </w:r>
          </w:p>
        </w:tc>
        <w:tc>
          <w:tcPr>
            <w:tcW w:w="727" w:type="dxa"/>
            <w:vAlign w:val="center"/>
          </w:tcPr>
          <w:p w14:paraId="02053B57" w14:textId="271F022A"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58 (1)</w:t>
            </w:r>
          </w:p>
        </w:tc>
        <w:tc>
          <w:tcPr>
            <w:tcW w:w="728" w:type="dxa"/>
            <w:vAlign w:val="center"/>
          </w:tcPr>
          <w:p w14:paraId="110E3D59"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6 (1)</w:t>
            </w:r>
          </w:p>
          <w:p w14:paraId="6A5431E8"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7 (1)</w:t>
            </w:r>
          </w:p>
          <w:p w14:paraId="43974DB7"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12 (1)</w:t>
            </w:r>
          </w:p>
          <w:p w14:paraId="1E8D2F36"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13 (3)</w:t>
            </w:r>
          </w:p>
          <w:p w14:paraId="64BE22AB" w14:textId="0BE62C9C"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19 (2)</w:t>
            </w:r>
          </w:p>
        </w:tc>
        <w:tc>
          <w:tcPr>
            <w:tcW w:w="762" w:type="dxa"/>
            <w:vAlign w:val="center"/>
          </w:tcPr>
          <w:p w14:paraId="4233B511" w14:textId="6124B98B"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11</w:t>
            </w:r>
          </w:p>
        </w:tc>
      </w:tr>
      <w:tr w:rsidR="00986794" w:rsidRPr="009E31A5" w14:paraId="2A12A6BD" w14:textId="68E7924A" w:rsidTr="009E11D6">
        <w:trPr>
          <w:trHeight w:val="227"/>
          <w:jc w:val="center"/>
        </w:trPr>
        <w:tc>
          <w:tcPr>
            <w:tcW w:w="3823" w:type="dxa"/>
            <w:shd w:val="clear" w:color="auto" w:fill="auto"/>
            <w:noWrap/>
            <w:vAlign w:val="center"/>
          </w:tcPr>
          <w:p w14:paraId="687EF39D" w14:textId="5DA6C8EA" w:rsidR="00986794" w:rsidRPr="00DD144B" w:rsidRDefault="00986794" w:rsidP="001B21ED">
            <w:pPr>
              <w:rPr>
                <w:rFonts w:ascii="Arial" w:hAnsi="Arial" w:cs="Arial"/>
                <w:sz w:val="16"/>
                <w:szCs w:val="14"/>
                <w:lang w:eastAsia="es-CO"/>
              </w:rPr>
            </w:pPr>
            <w:r w:rsidRPr="00DD144B">
              <w:rPr>
                <w:rFonts w:ascii="Arial" w:hAnsi="Arial" w:cs="Arial"/>
                <w:sz w:val="16"/>
                <w:szCs w:val="14"/>
                <w:lang w:eastAsia="es-CO"/>
              </w:rPr>
              <w:t>SUBDIRECCIÓN FINANCIERA</w:t>
            </w:r>
          </w:p>
        </w:tc>
        <w:tc>
          <w:tcPr>
            <w:tcW w:w="1121" w:type="dxa"/>
            <w:vAlign w:val="center"/>
          </w:tcPr>
          <w:p w14:paraId="2BA538E7" w14:textId="293CD32E" w:rsidR="00986794" w:rsidRPr="00DD144B" w:rsidRDefault="00986794" w:rsidP="00A301D0">
            <w:pPr>
              <w:jc w:val="center"/>
              <w:rPr>
                <w:rFonts w:ascii="Arial" w:hAnsi="Arial" w:cs="Arial"/>
                <w:sz w:val="16"/>
                <w:szCs w:val="14"/>
                <w:lang w:eastAsia="es-CO"/>
              </w:rPr>
            </w:pPr>
            <w:r w:rsidRPr="00DD144B">
              <w:rPr>
                <w:rFonts w:ascii="Arial" w:hAnsi="Arial" w:cs="Arial"/>
                <w:sz w:val="16"/>
                <w:szCs w:val="14"/>
                <w:lang w:eastAsia="es-CO"/>
              </w:rPr>
              <w:t>4 (1)</w:t>
            </w:r>
          </w:p>
        </w:tc>
        <w:tc>
          <w:tcPr>
            <w:tcW w:w="728" w:type="dxa"/>
            <w:vAlign w:val="center"/>
          </w:tcPr>
          <w:p w14:paraId="33C67D3E" w14:textId="77777777" w:rsidR="00986794" w:rsidRPr="00DD144B" w:rsidRDefault="00986794" w:rsidP="00CF6E6F">
            <w:pPr>
              <w:jc w:val="center"/>
              <w:rPr>
                <w:rFonts w:ascii="Arial" w:hAnsi="Arial" w:cs="Arial"/>
                <w:sz w:val="16"/>
                <w:szCs w:val="14"/>
                <w:lang w:eastAsia="es-CO"/>
              </w:rPr>
            </w:pPr>
          </w:p>
        </w:tc>
        <w:tc>
          <w:tcPr>
            <w:tcW w:w="727" w:type="dxa"/>
            <w:vAlign w:val="center"/>
          </w:tcPr>
          <w:p w14:paraId="3CAC189B" w14:textId="1D7E4A94" w:rsidR="00986794" w:rsidRPr="00DD144B" w:rsidRDefault="00986794" w:rsidP="00A301D0">
            <w:pPr>
              <w:jc w:val="center"/>
              <w:rPr>
                <w:rFonts w:ascii="Arial" w:hAnsi="Arial" w:cs="Arial"/>
                <w:sz w:val="16"/>
                <w:szCs w:val="14"/>
                <w:lang w:eastAsia="es-CO"/>
              </w:rPr>
            </w:pPr>
            <w:r w:rsidRPr="00DD144B">
              <w:rPr>
                <w:rFonts w:ascii="Arial" w:hAnsi="Arial" w:cs="Arial"/>
                <w:sz w:val="16"/>
                <w:szCs w:val="14"/>
                <w:lang w:eastAsia="es-CO"/>
              </w:rPr>
              <w:t>4 (1)</w:t>
            </w:r>
          </w:p>
        </w:tc>
        <w:tc>
          <w:tcPr>
            <w:tcW w:w="728" w:type="dxa"/>
            <w:vAlign w:val="center"/>
          </w:tcPr>
          <w:p w14:paraId="048CF5A8" w14:textId="3AB301FE" w:rsidR="00986794" w:rsidRPr="00DD144B" w:rsidRDefault="00986794" w:rsidP="001B21ED">
            <w:pPr>
              <w:jc w:val="center"/>
              <w:rPr>
                <w:rFonts w:ascii="Arial" w:hAnsi="Arial" w:cs="Arial"/>
                <w:sz w:val="16"/>
                <w:szCs w:val="14"/>
                <w:lang w:eastAsia="es-CO"/>
              </w:rPr>
            </w:pPr>
          </w:p>
        </w:tc>
        <w:tc>
          <w:tcPr>
            <w:tcW w:w="762" w:type="dxa"/>
            <w:vAlign w:val="center"/>
          </w:tcPr>
          <w:p w14:paraId="69740819" w14:textId="5B0DE4DF"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 xml:space="preserve"> 1</w:t>
            </w:r>
          </w:p>
        </w:tc>
      </w:tr>
      <w:tr w:rsidR="00986794" w:rsidRPr="009E31A5" w14:paraId="4B23BF7C" w14:textId="44AE8A84" w:rsidTr="009E11D6">
        <w:trPr>
          <w:trHeight w:val="227"/>
          <w:jc w:val="center"/>
        </w:trPr>
        <w:tc>
          <w:tcPr>
            <w:tcW w:w="3823" w:type="dxa"/>
            <w:shd w:val="clear" w:color="auto" w:fill="auto"/>
            <w:noWrap/>
            <w:vAlign w:val="center"/>
          </w:tcPr>
          <w:p w14:paraId="0C70505B" w14:textId="1B5D5D8F" w:rsidR="00986794" w:rsidRPr="00DD144B" w:rsidRDefault="00986794" w:rsidP="001B21ED">
            <w:pPr>
              <w:rPr>
                <w:rFonts w:ascii="Arial" w:hAnsi="Arial" w:cs="Arial"/>
                <w:sz w:val="16"/>
                <w:szCs w:val="14"/>
                <w:lang w:eastAsia="es-CO"/>
              </w:rPr>
            </w:pPr>
            <w:r w:rsidRPr="00DD144B">
              <w:rPr>
                <w:rFonts w:ascii="Arial" w:hAnsi="Arial" w:cs="Arial"/>
                <w:sz w:val="16"/>
                <w:szCs w:val="14"/>
                <w:lang w:eastAsia="es-CO"/>
              </w:rPr>
              <w:t>SUBDIRECCIÓN DE TICS</w:t>
            </w:r>
          </w:p>
        </w:tc>
        <w:tc>
          <w:tcPr>
            <w:tcW w:w="1121" w:type="dxa"/>
            <w:vAlign w:val="center"/>
          </w:tcPr>
          <w:p w14:paraId="1091E285"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8 (1)</w:t>
            </w:r>
          </w:p>
          <w:p w14:paraId="50254671" w14:textId="77777777"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9 (1)</w:t>
            </w:r>
          </w:p>
          <w:p w14:paraId="09888C2D" w14:textId="25E987B1" w:rsidR="00986794" w:rsidRPr="00DD144B" w:rsidRDefault="00986794" w:rsidP="001B21ED">
            <w:pPr>
              <w:jc w:val="center"/>
              <w:rPr>
                <w:rFonts w:ascii="Arial" w:hAnsi="Arial" w:cs="Arial"/>
                <w:sz w:val="16"/>
                <w:szCs w:val="14"/>
                <w:lang w:eastAsia="es-CO"/>
              </w:rPr>
            </w:pPr>
            <w:r w:rsidRPr="00DD144B">
              <w:rPr>
                <w:rFonts w:ascii="Arial" w:hAnsi="Arial" w:cs="Arial"/>
                <w:sz w:val="16"/>
                <w:szCs w:val="14"/>
                <w:lang w:eastAsia="es-CO"/>
              </w:rPr>
              <w:t>10 (1)</w:t>
            </w:r>
          </w:p>
        </w:tc>
        <w:tc>
          <w:tcPr>
            <w:tcW w:w="728" w:type="dxa"/>
            <w:vAlign w:val="center"/>
          </w:tcPr>
          <w:p w14:paraId="2C54C05A" w14:textId="77777777" w:rsidR="00986794" w:rsidRPr="00DD144B" w:rsidRDefault="00986794" w:rsidP="001B21ED">
            <w:pPr>
              <w:jc w:val="center"/>
              <w:rPr>
                <w:rFonts w:ascii="Arial" w:hAnsi="Arial" w:cs="Arial"/>
                <w:sz w:val="16"/>
                <w:szCs w:val="14"/>
                <w:lang w:eastAsia="es-CO"/>
              </w:rPr>
            </w:pPr>
          </w:p>
        </w:tc>
        <w:tc>
          <w:tcPr>
            <w:tcW w:w="727" w:type="dxa"/>
            <w:vAlign w:val="center"/>
          </w:tcPr>
          <w:p w14:paraId="6AF11FFE" w14:textId="60BF7768" w:rsidR="00986794" w:rsidRPr="00DD144B" w:rsidRDefault="00986794" w:rsidP="001B21ED">
            <w:pPr>
              <w:jc w:val="center"/>
              <w:rPr>
                <w:rFonts w:ascii="Arial" w:hAnsi="Arial" w:cs="Arial"/>
                <w:sz w:val="16"/>
                <w:szCs w:val="14"/>
                <w:lang w:eastAsia="es-CO"/>
              </w:rPr>
            </w:pPr>
          </w:p>
        </w:tc>
        <w:tc>
          <w:tcPr>
            <w:tcW w:w="728" w:type="dxa"/>
            <w:vAlign w:val="center"/>
          </w:tcPr>
          <w:p w14:paraId="3BBD68AD"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8 (1)</w:t>
            </w:r>
          </w:p>
          <w:p w14:paraId="6C658BC3"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9 (1)</w:t>
            </w:r>
          </w:p>
          <w:p w14:paraId="03C75FE3" w14:textId="26152D01"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10 (1)</w:t>
            </w:r>
          </w:p>
        </w:tc>
        <w:tc>
          <w:tcPr>
            <w:tcW w:w="762" w:type="dxa"/>
            <w:vAlign w:val="center"/>
          </w:tcPr>
          <w:p w14:paraId="5A13927E" w14:textId="78399A4D" w:rsidR="00986794" w:rsidRPr="00DD144B" w:rsidRDefault="00986794" w:rsidP="00143770">
            <w:pPr>
              <w:jc w:val="center"/>
              <w:rPr>
                <w:rFonts w:ascii="Arial" w:hAnsi="Arial" w:cs="Arial"/>
                <w:sz w:val="16"/>
                <w:szCs w:val="14"/>
                <w:lang w:eastAsia="es-CO"/>
              </w:rPr>
            </w:pPr>
            <w:r w:rsidRPr="00DD144B">
              <w:rPr>
                <w:rFonts w:ascii="Arial" w:hAnsi="Arial" w:cs="Arial"/>
                <w:sz w:val="16"/>
                <w:szCs w:val="14"/>
                <w:lang w:eastAsia="es-CO"/>
              </w:rPr>
              <w:t>3</w:t>
            </w:r>
          </w:p>
        </w:tc>
      </w:tr>
      <w:tr w:rsidR="00986794" w:rsidRPr="009E31A5" w14:paraId="55DE92FF" w14:textId="0B512603" w:rsidTr="009E11D6">
        <w:trPr>
          <w:trHeight w:val="227"/>
          <w:jc w:val="center"/>
        </w:trPr>
        <w:tc>
          <w:tcPr>
            <w:tcW w:w="3823" w:type="dxa"/>
            <w:shd w:val="clear" w:color="auto" w:fill="auto"/>
            <w:noWrap/>
            <w:vAlign w:val="center"/>
          </w:tcPr>
          <w:p w14:paraId="23B1DF3F" w14:textId="5CD0BCD8" w:rsidR="00986794" w:rsidRPr="00DD144B" w:rsidRDefault="00986794" w:rsidP="000A4C16">
            <w:pPr>
              <w:rPr>
                <w:rFonts w:ascii="Arial" w:hAnsi="Arial" w:cs="Arial"/>
                <w:sz w:val="16"/>
                <w:szCs w:val="14"/>
                <w:lang w:eastAsia="es-CO"/>
              </w:rPr>
            </w:pPr>
            <w:r w:rsidRPr="00DD144B">
              <w:rPr>
                <w:rFonts w:ascii="Arial" w:hAnsi="Arial" w:cs="Arial"/>
                <w:sz w:val="16"/>
                <w:szCs w:val="14"/>
                <w:lang w:eastAsia="es-CO"/>
              </w:rPr>
              <w:t>SUBDIRECCIÓN REGIONAL NOROCCIDENTAL</w:t>
            </w:r>
          </w:p>
        </w:tc>
        <w:tc>
          <w:tcPr>
            <w:tcW w:w="1121" w:type="dxa"/>
            <w:vAlign w:val="center"/>
          </w:tcPr>
          <w:p w14:paraId="69CA37A4" w14:textId="6A8F64B6"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25 (2)</w:t>
            </w:r>
          </w:p>
          <w:p w14:paraId="715C4EF5" w14:textId="7C6C5546"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26 (2)</w:t>
            </w:r>
          </w:p>
          <w:p w14:paraId="29B561F6" w14:textId="14E3B052"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27 (1)</w:t>
            </w:r>
          </w:p>
          <w:p w14:paraId="34C98834" w14:textId="204E437B"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28 (1)</w:t>
            </w:r>
          </w:p>
          <w:p w14:paraId="5FF23709" w14:textId="729A9D3A"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29 (2)</w:t>
            </w:r>
          </w:p>
          <w:p w14:paraId="6D02AAF3" w14:textId="09EB79D9"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30 (1)</w:t>
            </w:r>
          </w:p>
          <w:p w14:paraId="40B39ECB" w14:textId="3F8A179A"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31 (1)</w:t>
            </w:r>
          </w:p>
          <w:p w14:paraId="5C643F43" w14:textId="746D79FE"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32 (1)</w:t>
            </w:r>
          </w:p>
          <w:p w14:paraId="002525D7" w14:textId="4F19C388"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33 (1)</w:t>
            </w:r>
          </w:p>
          <w:p w14:paraId="5504FE85" w14:textId="6CAE1B5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34 (1)</w:t>
            </w:r>
          </w:p>
          <w:p w14:paraId="13C26742" w14:textId="4A93E40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35 (3)</w:t>
            </w:r>
          </w:p>
        </w:tc>
        <w:tc>
          <w:tcPr>
            <w:tcW w:w="728" w:type="dxa"/>
            <w:vAlign w:val="center"/>
          </w:tcPr>
          <w:p w14:paraId="79AADB01" w14:textId="77777777" w:rsidR="00986794" w:rsidRPr="00DD144B" w:rsidRDefault="00986794" w:rsidP="000A4C16">
            <w:pPr>
              <w:jc w:val="center"/>
              <w:rPr>
                <w:rFonts w:ascii="Arial" w:hAnsi="Arial" w:cs="Arial"/>
                <w:sz w:val="16"/>
                <w:szCs w:val="14"/>
                <w:lang w:eastAsia="es-CO"/>
              </w:rPr>
            </w:pPr>
          </w:p>
        </w:tc>
        <w:tc>
          <w:tcPr>
            <w:tcW w:w="727" w:type="dxa"/>
            <w:vAlign w:val="center"/>
          </w:tcPr>
          <w:p w14:paraId="166B4EC2" w14:textId="22E262E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25 (2)</w:t>
            </w:r>
          </w:p>
          <w:p w14:paraId="00DA50D6" w14:textId="07756E4F"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26 (2)</w:t>
            </w:r>
          </w:p>
          <w:p w14:paraId="78851A56" w14:textId="5B38F3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27 (1)</w:t>
            </w:r>
          </w:p>
          <w:p w14:paraId="36D945BF" w14:textId="737078AD"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28 (1)</w:t>
            </w:r>
          </w:p>
          <w:p w14:paraId="525BD19F" w14:textId="6C569ABA"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29 (2)</w:t>
            </w:r>
          </w:p>
          <w:p w14:paraId="17BFBBE3" w14:textId="3827CCA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30 (1)</w:t>
            </w:r>
          </w:p>
          <w:p w14:paraId="4A65C8DB" w14:textId="115CBD82"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31 (1)</w:t>
            </w:r>
          </w:p>
          <w:p w14:paraId="0FF3DD82" w14:textId="675D766D"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32 (1)</w:t>
            </w:r>
          </w:p>
          <w:p w14:paraId="02E223A4" w14:textId="01EBE785"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33 (1)</w:t>
            </w:r>
          </w:p>
          <w:p w14:paraId="50801E39" w14:textId="07170DAC"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34 (1)</w:t>
            </w:r>
          </w:p>
          <w:p w14:paraId="29E7A79C" w14:textId="5A2E02B8"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35 (3)</w:t>
            </w:r>
          </w:p>
        </w:tc>
        <w:tc>
          <w:tcPr>
            <w:tcW w:w="728" w:type="dxa"/>
            <w:vAlign w:val="center"/>
          </w:tcPr>
          <w:p w14:paraId="756FF0AA" w14:textId="30FE8572" w:rsidR="00986794" w:rsidRPr="00DD144B" w:rsidRDefault="00986794" w:rsidP="000A4C16">
            <w:pPr>
              <w:jc w:val="center"/>
              <w:rPr>
                <w:rFonts w:ascii="Arial" w:hAnsi="Arial" w:cs="Arial"/>
                <w:sz w:val="16"/>
                <w:szCs w:val="14"/>
                <w:lang w:eastAsia="es-CO"/>
              </w:rPr>
            </w:pPr>
          </w:p>
        </w:tc>
        <w:tc>
          <w:tcPr>
            <w:tcW w:w="762" w:type="dxa"/>
            <w:vAlign w:val="center"/>
          </w:tcPr>
          <w:p w14:paraId="47D6AFB6" w14:textId="37CC950E"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16</w:t>
            </w:r>
          </w:p>
        </w:tc>
      </w:tr>
      <w:tr w:rsidR="00986794" w:rsidRPr="009E31A5" w14:paraId="6D37E840" w14:textId="77777777" w:rsidTr="009E11D6">
        <w:trPr>
          <w:trHeight w:val="227"/>
          <w:jc w:val="center"/>
        </w:trPr>
        <w:tc>
          <w:tcPr>
            <w:tcW w:w="3823" w:type="dxa"/>
            <w:shd w:val="clear" w:color="auto" w:fill="auto"/>
            <w:noWrap/>
            <w:vAlign w:val="center"/>
          </w:tcPr>
          <w:p w14:paraId="6A97804C" w14:textId="403D3309" w:rsidR="00986794" w:rsidRPr="00DD144B" w:rsidRDefault="00986794" w:rsidP="000A4C16">
            <w:pPr>
              <w:rPr>
                <w:rFonts w:ascii="Arial" w:hAnsi="Arial" w:cs="Arial"/>
                <w:sz w:val="16"/>
                <w:szCs w:val="14"/>
                <w:lang w:eastAsia="es-CO"/>
              </w:rPr>
            </w:pPr>
            <w:r w:rsidRPr="00DD144B">
              <w:rPr>
                <w:rFonts w:ascii="Arial" w:hAnsi="Arial" w:cs="Arial"/>
                <w:sz w:val="16"/>
                <w:szCs w:val="14"/>
                <w:lang w:eastAsia="es-CO"/>
              </w:rPr>
              <w:t>SUBDIRECCIÓN REGIONAL CARIBE</w:t>
            </w:r>
          </w:p>
        </w:tc>
        <w:tc>
          <w:tcPr>
            <w:tcW w:w="1121" w:type="dxa"/>
            <w:vAlign w:val="center"/>
          </w:tcPr>
          <w:p w14:paraId="726F9810" w14:textId="7777777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36 (1)</w:t>
            </w:r>
          </w:p>
          <w:p w14:paraId="7E214BA2" w14:textId="7777777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37 (1)</w:t>
            </w:r>
          </w:p>
          <w:p w14:paraId="748A0535" w14:textId="7777777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38 (2)</w:t>
            </w:r>
          </w:p>
          <w:p w14:paraId="5121E276" w14:textId="14E97D91"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39 (1)</w:t>
            </w:r>
          </w:p>
        </w:tc>
        <w:tc>
          <w:tcPr>
            <w:tcW w:w="728" w:type="dxa"/>
            <w:vAlign w:val="center"/>
          </w:tcPr>
          <w:p w14:paraId="1BF9B691" w14:textId="77777777" w:rsidR="00986794" w:rsidRPr="00DD144B" w:rsidRDefault="00986794" w:rsidP="000A4C16">
            <w:pPr>
              <w:jc w:val="center"/>
              <w:rPr>
                <w:rFonts w:ascii="Arial" w:hAnsi="Arial" w:cs="Arial"/>
                <w:sz w:val="16"/>
                <w:szCs w:val="14"/>
                <w:lang w:eastAsia="es-CO"/>
              </w:rPr>
            </w:pPr>
          </w:p>
        </w:tc>
        <w:tc>
          <w:tcPr>
            <w:tcW w:w="727" w:type="dxa"/>
            <w:vAlign w:val="center"/>
          </w:tcPr>
          <w:p w14:paraId="57D1E8C7"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36 (1)</w:t>
            </w:r>
          </w:p>
          <w:p w14:paraId="6EA1E152"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37 (1)</w:t>
            </w:r>
          </w:p>
          <w:p w14:paraId="23638AD2"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38 (2)</w:t>
            </w:r>
          </w:p>
          <w:p w14:paraId="55DD8927" w14:textId="0A301B1B"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39 (1)</w:t>
            </w:r>
          </w:p>
        </w:tc>
        <w:tc>
          <w:tcPr>
            <w:tcW w:w="728" w:type="dxa"/>
            <w:vAlign w:val="center"/>
          </w:tcPr>
          <w:p w14:paraId="2EE38B04" w14:textId="77777777" w:rsidR="00986794" w:rsidRPr="00DD144B" w:rsidRDefault="00986794" w:rsidP="000A4C16">
            <w:pPr>
              <w:jc w:val="center"/>
              <w:rPr>
                <w:rFonts w:ascii="Arial" w:hAnsi="Arial" w:cs="Arial"/>
                <w:sz w:val="16"/>
                <w:szCs w:val="14"/>
                <w:lang w:eastAsia="es-CO"/>
              </w:rPr>
            </w:pPr>
          </w:p>
        </w:tc>
        <w:tc>
          <w:tcPr>
            <w:tcW w:w="762" w:type="dxa"/>
            <w:vAlign w:val="center"/>
          </w:tcPr>
          <w:p w14:paraId="6A58D6DE" w14:textId="728C8DE8"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5</w:t>
            </w:r>
          </w:p>
        </w:tc>
      </w:tr>
      <w:tr w:rsidR="00986794" w:rsidRPr="009E31A5" w14:paraId="7AC4BEB1" w14:textId="3BCD6112" w:rsidTr="009E11D6">
        <w:trPr>
          <w:trHeight w:val="227"/>
          <w:jc w:val="center"/>
        </w:trPr>
        <w:tc>
          <w:tcPr>
            <w:tcW w:w="3823" w:type="dxa"/>
            <w:shd w:val="clear" w:color="auto" w:fill="auto"/>
            <w:noWrap/>
            <w:vAlign w:val="center"/>
          </w:tcPr>
          <w:p w14:paraId="62A87B97" w14:textId="0A43CAF3" w:rsidR="00986794" w:rsidRPr="00DD144B" w:rsidRDefault="00986794" w:rsidP="000A4C16">
            <w:pPr>
              <w:rPr>
                <w:rFonts w:ascii="Arial" w:hAnsi="Arial" w:cs="Arial"/>
                <w:sz w:val="16"/>
                <w:szCs w:val="14"/>
                <w:lang w:eastAsia="es-CO"/>
              </w:rPr>
            </w:pPr>
            <w:r w:rsidRPr="00DD144B">
              <w:rPr>
                <w:rFonts w:ascii="Arial" w:hAnsi="Arial" w:cs="Arial"/>
                <w:sz w:val="16"/>
                <w:szCs w:val="14"/>
                <w:lang w:eastAsia="es-CO"/>
              </w:rPr>
              <w:t>SUBDIRECCIÓN REGIONAL ORINOQUIA</w:t>
            </w:r>
          </w:p>
        </w:tc>
        <w:tc>
          <w:tcPr>
            <w:tcW w:w="1121" w:type="dxa"/>
            <w:vAlign w:val="center"/>
          </w:tcPr>
          <w:p w14:paraId="0109948D" w14:textId="5C621EA4"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40 (2)</w:t>
            </w:r>
          </w:p>
          <w:p w14:paraId="5B9F62E2" w14:textId="7777777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41 (1)</w:t>
            </w:r>
          </w:p>
          <w:p w14:paraId="48D723D9" w14:textId="64078133"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80 (1)</w:t>
            </w:r>
          </w:p>
        </w:tc>
        <w:tc>
          <w:tcPr>
            <w:tcW w:w="728" w:type="dxa"/>
            <w:vAlign w:val="center"/>
          </w:tcPr>
          <w:p w14:paraId="6D62627F" w14:textId="77777777" w:rsidR="00986794" w:rsidRPr="00DD144B" w:rsidRDefault="00986794" w:rsidP="000A4C16">
            <w:pPr>
              <w:jc w:val="center"/>
              <w:rPr>
                <w:rFonts w:ascii="Arial" w:hAnsi="Arial" w:cs="Arial"/>
                <w:sz w:val="16"/>
                <w:szCs w:val="14"/>
                <w:lang w:eastAsia="es-CO"/>
              </w:rPr>
            </w:pPr>
          </w:p>
        </w:tc>
        <w:tc>
          <w:tcPr>
            <w:tcW w:w="727" w:type="dxa"/>
            <w:vAlign w:val="center"/>
          </w:tcPr>
          <w:p w14:paraId="3CBDC9CF" w14:textId="61DC387D"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40 (2)</w:t>
            </w:r>
          </w:p>
          <w:p w14:paraId="5172DF06"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41 (1)</w:t>
            </w:r>
          </w:p>
          <w:p w14:paraId="6DFACA32" w14:textId="2C71F7F8"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80 (1)</w:t>
            </w:r>
          </w:p>
        </w:tc>
        <w:tc>
          <w:tcPr>
            <w:tcW w:w="728" w:type="dxa"/>
            <w:vAlign w:val="center"/>
          </w:tcPr>
          <w:p w14:paraId="658F6008" w14:textId="52134B28" w:rsidR="00986794" w:rsidRPr="00DD144B" w:rsidRDefault="00986794" w:rsidP="000A4C16">
            <w:pPr>
              <w:jc w:val="center"/>
              <w:rPr>
                <w:rFonts w:ascii="Arial" w:hAnsi="Arial" w:cs="Arial"/>
                <w:sz w:val="16"/>
                <w:szCs w:val="14"/>
                <w:lang w:eastAsia="es-CO"/>
              </w:rPr>
            </w:pPr>
          </w:p>
        </w:tc>
        <w:tc>
          <w:tcPr>
            <w:tcW w:w="762" w:type="dxa"/>
            <w:vAlign w:val="center"/>
          </w:tcPr>
          <w:p w14:paraId="0E0DBB8D" w14:textId="6AB960AD"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4</w:t>
            </w:r>
          </w:p>
        </w:tc>
      </w:tr>
      <w:tr w:rsidR="00986794" w:rsidRPr="009E31A5" w14:paraId="1B44C583" w14:textId="2EB88A55" w:rsidTr="009E11D6">
        <w:trPr>
          <w:trHeight w:val="227"/>
          <w:jc w:val="center"/>
        </w:trPr>
        <w:tc>
          <w:tcPr>
            <w:tcW w:w="3823" w:type="dxa"/>
            <w:shd w:val="clear" w:color="auto" w:fill="auto"/>
            <w:noWrap/>
            <w:vAlign w:val="center"/>
          </w:tcPr>
          <w:p w14:paraId="453A1C73" w14:textId="0B001328" w:rsidR="00986794" w:rsidRPr="00DD144B" w:rsidRDefault="00986794" w:rsidP="000A4C16">
            <w:pPr>
              <w:rPr>
                <w:rFonts w:ascii="Arial" w:hAnsi="Arial" w:cs="Arial"/>
                <w:sz w:val="16"/>
                <w:szCs w:val="14"/>
                <w:lang w:eastAsia="es-CO"/>
              </w:rPr>
            </w:pPr>
            <w:r w:rsidRPr="00DD144B">
              <w:rPr>
                <w:rFonts w:ascii="Arial" w:hAnsi="Arial" w:cs="Arial"/>
                <w:sz w:val="16"/>
                <w:szCs w:val="14"/>
                <w:lang w:eastAsia="es-CO"/>
              </w:rPr>
              <w:t>SUBDIRECCIÓN REGIONAL EJE CAFETERO</w:t>
            </w:r>
          </w:p>
        </w:tc>
        <w:tc>
          <w:tcPr>
            <w:tcW w:w="1121" w:type="dxa"/>
            <w:vAlign w:val="center"/>
          </w:tcPr>
          <w:p w14:paraId="795317CF" w14:textId="7777777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80 (1)</w:t>
            </w:r>
          </w:p>
          <w:p w14:paraId="45596ABF" w14:textId="7777777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51 (1)</w:t>
            </w:r>
          </w:p>
          <w:p w14:paraId="59237B7C" w14:textId="7F56328D"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79 (1)</w:t>
            </w:r>
          </w:p>
        </w:tc>
        <w:tc>
          <w:tcPr>
            <w:tcW w:w="728" w:type="dxa"/>
            <w:vAlign w:val="center"/>
          </w:tcPr>
          <w:p w14:paraId="73F25D7A" w14:textId="7777777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80 (1)</w:t>
            </w:r>
          </w:p>
          <w:p w14:paraId="33F906F5" w14:textId="77777777" w:rsidR="00986794" w:rsidRPr="00DD144B" w:rsidRDefault="00986794" w:rsidP="006123ED">
            <w:pPr>
              <w:jc w:val="center"/>
              <w:rPr>
                <w:rFonts w:ascii="Arial" w:hAnsi="Arial" w:cs="Arial"/>
                <w:sz w:val="16"/>
                <w:szCs w:val="14"/>
                <w:lang w:eastAsia="es-CO"/>
              </w:rPr>
            </w:pPr>
            <w:r w:rsidRPr="00DD144B">
              <w:rPr>
                <w:rFonts w:ascii="Arial" w:hAnsi="Arial" w:cs="Arial"/>
                <w:sz w:val="16"/>
                <w:szCs w:val="14"/>
                <w:lang w:eastAsia="es-CO"/>
              </w:rPr>
              <w:t>51 (1)</w:t>
            </w:r>
          </w:p>
          <w:p w14:paraId="5494EE41" w14:textId="738CC5BC" w:rsidR="00986794" w:rsidRPr="00DD144B" w:rsidRDefault="00986794" w:rsidP="006123ED">
            <w:pPr>
              <w:jc w:val="center"/>
              <w:rPr>
                <w:rFonts w:ascii="Arial" w:hAnsi="Arial" w:cs="Arial"/>
                <w:sz w:val="16"/>
                <w:szCs w:val="14"/>
                <w:lang w:eastAsia="es-CO"/>
              </w:rPr>
            </w:pPr>
            <w:r w:rsidRPr="00DD144B">
              <w:rPr>
                <w:rFonts w:ascii="Arial" w:hAnsi="Arial" w:cs="Arial"/>
                <w:sz w:val="16"/>
                <w:szCs w:val="14"/>
                <w:lang w:eastAsia="es-CO"/>
              </w:rPr>
              <w:t>79 (1)</w:t>
            </w:r>
          </w:p>
        </w:tc>
        <w:tc>
          <w:tcPr>
            <w:tcW w:w="727" w:type="dxa"/>
            <w:vAlign w:val="center"/>
          </w:tcPr>
          <w:p w14:paraId="33D8217C" w14:textId="7269815E" w:rsidR="00986794" w:rsidRPr="00DD144B" w:rsidRDefault="00986794" w:rsidP="000A4C16">
            <w:pPr>
              <w:jc w:val="center"/>
              <w:rPr>
                <w:rFonts w:ascii="Arial" w:hAnsi="Arial" w:cs="Arial"/>
                <w:sz w:val="16"/>
                <w:szCs w:val="14"/>
                <w:lang w:eastAsia="es-CO"/>
              </w:rPr>
            </w:pPr>
          </w:p>
        </w:tc>
        <w:tc>
          <w:tcPr>
            <w:tcW w:w="728" w:type="dxa"/>
            <w:vAlign w:val="center"/>
          </w:tcPr>
          <w:p w14:paraId="3F0D8F93" w14:textId="4ED3B518" w:rsidR="00986794" w:rsidRPr="00DD144B" w:rsidRDefault="00986794" w:rsidP="000A4C16">
            <w:pPr>
              <w:jc w:val="center"/>
              <w:rPr>
                <w:rFonts w:ascii="Arial" w:hAnsi="Arial" w:cs="Arial"/>
                <w:sz w:val="16"/>
                <w:szCs w:val="14"/>
                <w:lang w:eastAsia="es-CO"/>
              </w:rPr>
            </w:pPr>
          </w:p>
        </w:tc>
        <w:tc>
          <w:tcPr>
            <w:tcW w:w="762" w:type="dxa"/>
            <w:vAlign w:val="center"/>
          </w:tcPr>
          <w:p w14:paraId="2CBD9BD4" w14:textId="34B1EA8F"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3</w:t>
            </w:r>
          </w:p>
        </w:tc>
      </w:tr>
      <w:tr w:rsidR="00986794" w:rsidRPr="009E31A5" w14:paraId="681167BC" w14:textId="1E062FFD" w:rsidTr="009E11D6">
        <w:trPr>
          <w:trHeight w:val="227"/>
          <w:jc w:val="center"/>
        </w:trPr>
        <w:tc>
          <w:tcPr>
            <w:tcW w:w="3823" w:type="dxa"/>
            <w:shd w:val="clear" w:color="auto" w:fill="auto"/>
            <w:noWrap/>
            <w:vAlign w:val="center"/>
          </w:tcPr>
          <w:p w14:paraId="67B4DF23" w14:textId="5FBFCF3B" w:rsidR="00986794" w:rsidRPr="00DD144B" w:rsidRDefault="00986794" w:rsidP="000A4C16">
            <w:pPr>
              <w:rPr>
                <w:rFonts w:ascii="Arial" w:hAnsi="Arial" w:cs="Arial"/>
                <w:sz w:val="16"/>
                <w:szCs w:val="14"/>
                <w:lang w:eastAsia="es-CO"/>
              </w:rPr>
            </w:pPr>
            <w:r w:rsidRPr="00DD144B">
              <w:rPr>
                <w:rFonts w:ascii="Arial" w:hAnsi="Arial" w:cs="Arial"/>
                <w:sz w:val="16"/>
                <w:szCs w:val="14"/>
                <w:lang w:eastAsia="es-CO"/>
              </w:rPr>
              <w:t>SUBDIRECCIÓN REGIONAL NORORIENTAL</w:t>
            </w:r>
          </w:p>
        </w:tc>
        <w:tc>
          <w:tcPr>
            <w:tcW w:w="1121" w:type="dxa"/>
            <w:vAlign w:val="center"/>
          </w:tcPr>
          <w:p w14:paraId="7E9D177D" w14:textId="7777777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20 (2)</w:t>
            </w:r>
          </w:p>
          <w:p w14:paraId="63D4DB0A" w14:textId="77777777"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21 (1)</w:t>
            </w:r>
          </w:p>
          <w:p w14:paraId="13256FC7" w14:textId="76F87079"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80 (1)</w:t>
            </w:r>
          </w:p>
        </w:tc>
        <w:tc>
          <w:tcPr>
            <w:tcW w:w="728" w:type="dxa"/>
            <w:vAlign w:val="center"/>
          </w:tcPr>
          <w:p w14:paraId="3DE5CFD8" w14:textId="77777777" w:rsidR="00986794" w:rsidRPr="00DD144B" w:rsidRDefault="00986794" w:rsidP="000A4C16">
            <w:pPr>
              <w:jc w:val="center"/>
              <w:rPr>
                <w:rFonts w:ascii="Arial" w:hAnsi="Arial" w:cs="Arial"/>
                <w:sz w:val="16"/>
                <w:szCs w:val="14"/>
                <w:lang w:eastAsia="es-CO"/>
              </w:rPr>
            </w:pPr>
          </w:p>
        </w:tc>
        <w:tc>
          <w:tcPr>
            <w:tcW w:w="727" w:type="dxa"/>
            <w:vAlign w:val="center"/>
          </w:tcPr>
          <w:p w14:paraId="02676760" w14:textId="70851E3C" w:rsidR="00986794" w:rsidRPr="00DD144B" w:rsidRDefault="00986794" w:rsidP="000A4C16">
            <w:pPr>
              <w:jc w:val="center"/>
              <w:rPr>
                <w:rFonts w:ascii="Arial" w:hAnsi="Arial" w:cs="Arial"/>
                <w:sz w:val="16"/>
                <w:szCs w:val="14"/>
                <w:lang w:eastAsia="es-CO"/>
              </w:rPr>
            </w:pPr>
          </w:p>
        </w:tc>
        <w:tc>
          <w:tcPr>
            <w:tcW w:w="728" w:type="dxa"/>
            <w:vAlign w:val="center"/>
          </w:tcPr>
          <w:p w14:paraId="6A1CF4D7"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20 (2)</w:t>
            </w:r>
          </w:p>
          <w:p w14:paraId="77CF64FB" w14:textId="77777777"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21 (1)</w:t>
            </w:r>
          </w:p>
          <w:p w14:paraId="567A818F" w14:textId="0BACF65B" w:rsidR="00986794" w:rsidRPr="00DD144B" w:rsidRDefault="00986794" w:rsidP="00B93278">
            <w:pPr>
              <w:jc w:val="center"/>
              <w:rPr>
                <w:rFonts w:ascii="Arial" w:hAnsi="Arial" w:cs="Arial"/>
                <w:sz w:val="16"/>
                <w:szCs w:val="14"/>
                <w:lang w:eastAsia="es-CO"/>
              </w:rPr>
            </w:pPr>
            <w:r w:rsidRPr="00DD144B">
              <w:rPr>
                <w:rFonts w:ascii="Arial" w:hAnsi="Arial" w:cs="Arial"/>
                <w:sz w:val="16"/>
                <w:szCs w:val="14"/>
                <w:lang w:eastAsia="es-CO"/>
              </w:rPr>
              <w:t>80 (1)</w:t>
            </w:r>
          </w:p>
        </w:tc>
        <w:tc>
          <w:tcPr>
            <w:tcW w:w="762" w:type="dxa"/>
            <w:vAlign w:val="center"/>
          </w:tcPr>
          <w:p w14:paraId="5BB195E4" w14:textId="2F2B5BFB"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4</w:t>
            </w:r>
          </w:p>
        </w:tc>
      </w:tr>
      <w:tr w:rsidR="00986794" w:rsidRPr="009E31A5" w14:paraId="434BEBEC" w14:textId="77777777" w:rsidTr="009E11D6">
        <w:trPr>
          <w:trHeight w:val="227"/>
          <w:jc w:val="center"/>
        </w:trPr>
        <w:tc>
          <w:tcPr>
            <w:tcW w:w="3823" w:type="dxa"/>
            <w:shd w:val="clear" w:color="auto" w:fill="auto"/>
            <w:noWrap/>
            <w:vAlign w:val="center"/>
          </w:tcPr>
          <w:p w14:paraId="4E161BF8" w14:textId="5DA260B2" w:rsidR="00986794" w:rsidRPr="00DD144B" w:rsidRDefault="00986794" w:rsidP="000A4C16">
            <w:pPr>
              <w:rPr>
                <w:rFonts w:ascii="Arial" w:hAnsi="Arial" w:cs="Arial"/>
                <w:sz w:val="16"/>
                <w:szCs w:val="14"/>
                <w:lang w:eastAsia="es-CO"/>
              </w:rPr>
            </w:pPr>
            <w:r w:rsidRPr="00DD144B">
              <w:rPr>
                <w:rFonts w:ascii="Arial" w:hAnsi="Arial" w:cs="Arial"/>
                <w:sz w:val="16"/>
                <w:szCs w:val="14"/>
                <w:lang w:eastAsia="es-CO"/>
              </w:rPr>
              <w:t>SUBDIRECCIÓN DE GESTIÓN DOCUMENTAL</w:t>
            </w:r>
          </w:p>
        </w:tc>
        <w:tc>
          <w:tcPr>
            <w:tcW w:w="1121" w:type="dxa"/>
            <w:vAlign w:val="center"/>
          </w:tcPr>
          <w:p w14:paraId="413BD269" w14:textId="3D53CAA4"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24 (2)</w:t>
            </w:r>
          </w:p>
        </w:tc>
        <w:tc>
          <w:tcPr>
            <w:tcW w:w="728" w:type="dxa"/>
            <w:vAlign w:val="center"/>
          </w:tcPr>
          <w:p w14:paraId="2F03CD67" w14:textId="155A4A03"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24 (2)</w:t>
            </w:r>
          </w:p>
        </w:tc>
        <w:tc>
          <w:tcPr>
            <w:tcW w:w="727" w:type="dxa"/>
            <w:vAlign w:val="center"/>
          </w:tcPr>
          <w:p w14:paraId="3FEBB84B" w14:textId="77777777" w:rsidR="00986794" w:rsidRPr="00DD144B" w:rsidRDefault="00986794" w:rsidP="000A4C16">
            <w:pPr>
              <w:jc w:val="center"/>
              <w:rPr>
                <w:rFonts w:ascii="Arial" w:hAnsi="Arial" w:cs="Arial"/>
                <w:sz w:val="16"/>
                <w:szCs w:val="14"/>
                <w:lang w:eastAsia="es-CO"/>
              </w:rPr>
            </w:pPr>
          </w:p>
        </w:tc>
        <w:tc>
          <w:tcPr>
            <w:tcW w:w="728" w:type="dxa"/>
            <w:vAlign w:val="center"/>
          </w:tcPr>
          <w:p w14:paraId="5109E0D9" w14:textId="77777777" w:rsidR="00986794" w:rsidRPr="00DD144B" w:rsidRDefault="00986794" w:rsidP="00B93278">
            <w:pPr>
              <w:jc w:val="center"/>
              <w:rPr>
                <w:rFonts w:ascii="Arial" w:hAnsi="Arial" w:cs="Arial"/>
                <w:sz w:val="16"/>
                <w:szCs w:val="14"/>
                <w:lang w:eastAsia="es-CO"/>
              </w:rPr>
            </w:pPr>
          </w:p>
        </w:tc>
        <w:tc>
          <w:tcPr>
            <w:tcW w:w="762" w:type="dxa"/>
            <w:vAlign w:val="center"/>
          </w:tcPr>
          <w:p w14:paraId="0303C93D" w14:textId="43D60D36" w:rsidR="00986794" w:rsidRPr="00DD144B" w:rsidRDefault="00986794" w:rsidP="000A4C16">
            <w:pPr>
              <w:jc w:val="center"/>
              <w:rPr>
                <w:rFonts w:ascii="Arial" w:hAnsi="Arial" w:cs="Arial"/>
                <w:sz w:val="16"/>
                <w:szCs w:val="14"/>
                <w:lang w:eastAsia="es-CO"/>
              </w:rPr>
            </w:pPr>
            <w:r w:rsidRPr="00DD144B">
              <w:rPr>
                <w:rFonts w:ascii="Arial" w:hAnsi="Arial" w:cs="Arial"/>
                <w:sz w:val="16"/>
                <w:szCs w:val="14"/>
                <w:lang w:eastAsia="es-CO"/>
              </w:rPr>
              <w:t>2</w:t>
            </w:r>
          </w:p>
        </w:tc>
      </w:tr>
      <w:tr w:rsidR="00986794" w:rsidRPr="009E31A5" w14:paraId="4DE8188D" w14:textId="389EE67E" w:rsidTr="009E11D6">
        <w:trPr>
          <w:trHeight w:val="227"/>
          <w:jc w:val="center"/>
        </w:trPr>
        <w:tc>
          <w:tcPr>
            <w:tcW w:w="3823" w:type="dxa"/>
            <w:tcBorders>
              <w:top w:val="double" w:sz="4" w:space="0" w:color="4472C4"/>
            </w:tcBorders>
            <w:shd w:val="clear" w:color="auto" w:fill="auto"/>
            <w:noWrap/>
            <w:vAlign w:val="center"/>
            <w:hideMark/>
          </w:tcPr>
          <w:p w14:paraId="5A836918" w14:textId="29276022" w:rsidR="00986794" w:rsidRPr="00DD144B" w:rsidRDefault="00986794" w:rsidP="001C2390">
            <w:pPr>
              <w:jc w:val="center"/>
              <w:rPr>
                <w:rFonts w:ascii="Arial" w:hAnsi="Arial" w:cs="Arial"/>
                <w:b/>
                <w:bCs/>
                <w:sz w:val="16"/>
                <w:szCs w:val="14"/>
                <w:lang w:eastAsia="es-CO"/>
              </w:rPr>
            </w:pPr>
            <w:r w:rsidRPr="00DD144B">
              <w:rPr>
                <w:rFonts w:ascii="Arial" w:hAnsi="Arial" w:cs="Arial"/>
                <w:b/>
                <w:bCs/>
                <w:sz w:val="16"/>
                <w:szCs w:val="14"/>
                <w:lang w:eastAsia="es-CO"/>
              </w:rPr>
              <w:t>TOTAL HALLAZGOS Y METAS OBJETO DE SEGUIMIENTO</w:t>
            </w:r>
          </w:p>
        </w:tc>
        <w:tc>
          <w:tcPr>
            <w:tcW w:w="1121" w:type="dxa"/>
            <w:tcBorders>
              <w:top w:val="double" w:sz="4" w:space="0" w:color="4472C4"/>
            </w:tcBorders>
            <w:vAlign w:val="center"/>
          </w:tcPr>
          <w:p w14:paraId="162A27B8" w14:textId="2C7E1DBD" w:rsidR="00986794" w:rsidRPr="00DD144B" w:rsidRDefault="00986794" w:rsidP="000A4C16">
            <w:pPr>
              <w:jc w:val="center"/>
              <w:rPr>
                <w:rFonts w:ascii="Arial" w:hAnsi="Arial" w:cs="Arial"/>
                <w:b/>
                <w:bCs/>
                <w:sz w:val="16"/>
                <w:szCs w:val="14"/>
                <w:lang w:eastAsia="es-CO"/>
              </w:rPr>
            </w:pPr>
            <w:r w:rsidRPr="00DD144B">
              <w:rPr>
                <w:rFonts w:ascii="Arial" w:hAnsi="Arial" w:cs="Arial"/>
                <w:b/>
                <w:bCs/>
                <w:sz w:val="16"/>
                <w:szCs w:val="14"/>
                <w:lang w:eastAsia="es-CO"/>
              </w:rPr>
              <w:t>Hallazgos 42</w:t>
            </w:r>
          </w:p>
          <w:p w14:paraId="4621EA32" w14:textId="624511DD" w:rsidR="00986794" w:rsidRPr="00DD144B" w:rsidRDefault="00986794" w:rsidP="000A4C16">
            <w:pPr>
              <w:jc w:val="center"/>
              <w:rPr>
                <w:rFonts w:ascii="Arial" w:hAnsi="Arial" w:cs="Arial"/>
                <w:b/>
                <w:bCs/>
                <w:sz w:val="16"/>
                <w:szCs w:val="14"/>
                <w:lang w:eastAsia="es-CO"/>
              </w:rPr>
            </w:pPr>
            <w:r w:rsidRPr="00DD144B">
              <w:rPr>
                <w:rFonts w:ascii="Arial" w:hAnsi="Arial" w:cs="Arial"/>
                <w:b/>
                <w:bCs/>
                <w:sz w:val="16"/>
                <w:szCs w:val="14"/>
                <w:lang w:eastAsia="es-CO"/>
              </w:rPr>
              <w:t>Metas 67</w:t>
            </w:r>
          </w:p>
        </w:tc>
        <w:tc>
          <w:tcPr>
            <w:tcW w:w="728" w:type="dxa"/>
            <w:tcBorders>
              <w:top w:val="double" w:sz="4" w:space="0" w:color="4472C4"/>
            </w:tcBorders>
            <w:vAlign w:val="center"/>
          </w:tcPr>
          <w:p w14:paraId="180C4824" w14:textId="6355D093" w:rsidR="00986794" w:rsidRPr="00DD144B" w:rsidRDefault="00986794" w:rsidP="000A4C16">
            <w:pPr>
              <w:jc w:val="center"/>
              <w:rPr>
                <w:rFonts w:ascii="Arial" w:hAnsi="Arial" w:cs="Arial"/>
                <w:b/>
                <w:bCs/>
                <w:sz w:val="16"/>
                <w:szCs w:val="14"/>
                <w:lang w:eastAsia="es-CO"/>
              </w:rPr>
            </w:pPr>
            <w:r w:rsidRPr="00DD144B">
              <w:rPr>
                <w:rFonts w:ascii="Arial" w:hAnsi="Arial" w:cs="Arial"/>
                <w:b/>
                <w:bCs/>
                <w:sz w:val="16"/>
                <w:szCs w:val="14"/>
                <w:lang w:eastAsia="es-CO"/>
              </w:rPr>
              <w:t>H 10</w:t>
            </w:r>
          </w:p>
          <w:p w14:paraId="64B10C06" w14:textId="556E3B67" w:rsidR="00986794" w:rsidRPr="00DD144B" w:rsidRDefault="00986794" w:rsidP="000A4C16">
            <w:pPr>
              <w:jc w:val="center"/>
              <w:rPr>
                <w:rFonts w:ascii="Arial" w:hAnsi="Arial" w:cs="Arial"/>
                <w:b/>
                <w:bCs/>
                <w:sz w:val="16"/>
                <w:szCs w:val="14"/>
                <w:lang w:eastAsia="es-CO"/>
              </w:rPr>
            </w:pPr>
            <w:r w:rsidRPr="00DD144B">
              <w:rPr>
                <w:rFonts w:ascii="Arial" w:hAnsi="Arial" w:cs="Arial"/>
                <w:b/>
                <w:bCs/>
                <w:sz w:val="16"/>
                <w:szCs w:val="14"/>
                <w:lang w:eastAsia="es-CO"/>
              </w:rPr>
              <w:t>M 21</w:t>
            </w:r>
          </w:p>
        </w:tc>
        <w:tc>
          <w:tcPr>
            <w:tcW w:w="727" w:type="dxa"/>
            <w:tcBorders>
              <w:top w:val="double" w:sz="4" w:space="0" w:color="4472C4"/>
            </w:tcBorders>
            <w:vAlign w:val="center"/>
          </w:tcPr>
          <w:p w14:paraId="0FB5EF34" w14:textId="5B58B74F" w:rsidR="00986794" w:rsidRPr="00DD144B" w:rsidRDefault="00986794" w:rsidP="000A4C16">
            <w:pPr>
              <w:jc w:val="center"/>
              <w:rPr>
                <w:rFonts w:ascii="Arial" w:hAnsi="Arial" w:cs="Arial"/>
                <w:b/>
                <w:bCs/>
                <w:sz w:val="16"/>
                <w:szCs w:val="14"/>
                <w:lang w:eastAsia="es-CO"/>
              </w:rPr>
            </w:pPr>
            <w:r w:rsidRPr="00DD144B">
              <w:rPr>
                <w:rFonts w:ascii="Arial" w:hAnsi="Arial" w:cs="Arial"/>
                <w:b/>
                <w:bCs/>
                <w:sz w:val="16"/>
                <w:szCs w:val="14"/>
                <w:lang w:eastAsia="es-CO"/>
              </w:rPr>
              <w:t>H 21</w:t>
            </w:r>
          </w:p>
          <w:p w14:paraId="0D368273" w14:textId="5DF40B0F" w:rsidR="00986794" w:rsidRPr="00DD144B" w:rsidRDefault="00986794" w:rsidP="000A4C16">
            <w:pPr>
              <w:jc w:val="center"/>
              <w:rPr>
                <w:rFonts w:ascii="Arial" w:hAnsi="Arial" w:cs="Arial"/>
                <w:b/>
                <w:bCs/>
                <w:sz w:val="16"/>
                <w:szCs w:val="14"/>
                <w:lang w:eastAsia="es-CO"/>
              </w:rPr>
            </w:pPr>
            <w:r w:rsidRPr="00DD144B">
              <w:rPr>
                <w:rFonts w:ascii="Arial" w:hAnsi="Arial" w:cs="Arial"/>
                <w:b/>
                <w:bCs/>
                <w:sz w:val="16"/>
                <w:szCs w:val="14"/>
                <w:lang w:eastAsia="es-CO"/>
              </w:rPr>
              <w:t>M 29</w:t>
            </w:r>
          </w:p>
        </w:tc>
        <w:tc>
          <w:tcPr>
            <w:tcW w:w="728" w:type="dxa"/>
            <w:tcBorders>
              <w:top w:val="double" w:sz="4" w:space="0" w:color="4472C4"/>
            </w:tcBorders>
            <w:vAlign w:val="center"/>
          </w:tcPr>
          <w:p w14:paraId="11F59804" w14:textId="1B56419F" w:rsidR="00986794" w:rsidRPr="00DD144B" w:rsidRDefault="00986794" w:rsidP="000A4C16">
            <w:pPr>
              <w:jc w:val="center"/>
              <w:rPr>
                <w:rFonts w:ascii="Arial" w:hAnsi="Arial" w:cs="Arial"/>
                <w:b/>
                <w:bCs/>
                <w:sz w:val="16"/>
                <w:szCs w:val="14"/>
                <w:lang w:eastAsia="es-CO"/>
              </w:rPr>
            </w:pPr>
            <w:r w:rsidRPr="00DD144B">
              <w:rPr>
                <w:rFonts w:ascii="Arial" w:hAnsi="Arial" w:cs="Arial"/>
                <w:b/>
                <w:bCs/>
                <w:sz w:val="16"/>
                <w:szCs w:val="14"/>
                <w:lang w:eastAsia="es-CO"/>
              </w:rPr>
              <w:t xml:space="preserve">H 11 </w:t>
            </w:r>
          </w:p>
          <w:p w14:paraId="279FFC80" w14:textId="13E92C39" w:rsidR="00986794" w:rsidRPr="00DD144B" w:rsidRDefault="00986794" w:rsidP="000A4C16">
            <w:pPr>
              <w:jc w:val="center"/>
              <w:rPr>
                <w:rFonts w:ascii="Arial" w:hAnsi="Arial" w:cs="Arial"/>
                <w:b/>
                <w:bCs/>
                <w:sz w:val="16"/>
                <w:szCs w:val="14"/>
                <w:lang w:eastAsia="es-CO"/>
              </w:rPr>
            </w:pPr>
            <w:r w:rsidRPr="00DD144B">
              <w:rPr>
                <w:rFonts w:ascii="Arial" w:hAnsi="Arial" w:cs="Arial"/>
                <w:b/>
                <w:bCs/>
                <w:sz w:val="16"/>
                <w:szCs w:val="14"/>
                <w:lang w:eastAsia="es-CO"/>
              </w:rPr>
              <w:t>M 17</w:t>
            </w:r>
          </w:p>
        </w:tc>
        <w:tc>
          <w:tcPr>
            <w:tcW w:w="762" w:type="dxa"/>
            <w:tcBorders>
              <w:top w:val="double" w:sz="4" w:space="0" w:color="4472C4"/>
            </w:tcBorders>
            <w:vAlign w:val="center"/>
          </w:tcPr>
          <w:p w14:paraId="3E6C5E47" w14:textId="67D57FED" w:rsidR="00986794" w:rsidRPr="00DD144B" w:rsidRDefault="00986794" w:rsidP="000A4C16">
            <w:pPr>
              <w:jc w:val="center"/>
              <w:rPr>
                <w:rFonts w:ascii="Arial" w:hAnsi="Arial" w:cs="Arial"/>
                <w:b/>
                <w:bCs/>
                <w:sz w:val="16"/>
                <w:szCs w:val="14"/>
                <w:lang w:eastAsia="es-CO"/>
              </w:rPr>
            </w:pPr>
            <w:r w:rsidRPr="00DD144B">
              <w:rPr>
                <w:rFonts w:ascii="Arial" w:hAnsi="Arial" w:cs="Arial"/>
                <w:b/>
                <w:bCs/>
                <w:sz w:val="16"/>
                <w:szCs w:val="14"/>
                <w:lang w:eastAsia="es-CO"/>
              </w:rPr>
              <w:t>67</w:t>
            </w:r>
          </w:p>
        </w:tc>
      </w:tr>
    </w:tbl>
    <w:p w14:paraId="6908BBD3" w14:textId="77777777" w:rsidR="009E31A5" w:rsidRDefault="009E31A5" w:rsidP="00C31601">
      <w:pPr>
        <w:jc w:val="both"/>
        <w:rPr>
          <w:rFonts w:ascii="Arial" w:eastAsia="Times New Roman" w:hAnsi="Arial" w:cs="Arial"/>
          <w:sz w:val="22"/>
          <w:szCs w:val="22"/>
          <w:lang w:eastAsia="es-ES_tradnl"/>
        </w:rPr>
      </w:pPr>
    </w:p>
    <w:p w14:paraId="4500137A" w14:textId="677D52FE" w:rsidR="005807DC" w:rsidRDefault="007C2337" w:rsidP="007C2337">
      <w:pPr>
        <w:jc w:val="both"/>
        <w:rPr>
          <w:rFonts w:ascii="Arial" w:hAnsi="Arial" w:cs="Arial"/>
          <w:sz w:val="22"/>
          <w:szCs w:val="22"/>
        </w:rPr>
      </w:pPr>
      <w:r>
        <w:rPr>
          <w:rFonts w:ascii="Arial" w:hAnsi="Arial" w:cs="Arial"/>
          <w:sz w:val="22"/>
          <w:szCs w:val="22"/>
        </w:rPr>
        <w:t xml:space="preserve">Dado el resultado del último seguimiento del plan de mejoramiento, para este corte se realizó seguimiento a 12 metas de los hallazgos </w:t>
      </w:r>
      <w:r w:rsidR="0059431E">
        <w:rPr>
          <w:rFonts w:ascii="Arial" w:hAnsi="Arial" w:cs="Arial"/>
          <w:sz w:val="22"/>
          <w:szCs w:val="22"/>
        </w:rPr>
        <w:t xml:space="preserve">números </w:t>
      </w:r>
      <w:r>
        <w:rPr>
          <w:rFonts w:ascii="Arial" w:hAnsi="Arial" w:cs="Arial"/>
          <w:sz w:val="22"/>
          <w:szCs w:val="22"/>
        </w:rPr>
        <w:t xml:space="preserve">6, </w:t>
      </w:r>
      <w:r w:rsidRPr="007C2337">
        <w:rPr>
          <w:rFonts w:ascii="Arial" w:hAnsi="Arial" w:cs="Arial"/>
          <w:sz w:val="22"/>
          <w:szCs w:val="22"/>
        </w:rPr>
        <w:t>7</w:t>
      </w:r>
      <w:r>
        <w:rPr>
          <w:rFonts w:ascii="Arial" w:hAnsi="Arial" w:cs="Arial"/>
          <w:sz w:val="22"/>
          <w:szCs w:val="22"/>
        </w:rPr>
        <w:t xml:space="preserve">, </w:t>
      </w:r>
      <w:r w:rsidRPr="007C2337">
        <w:rPr>
          <w:rFonts w:ascii="Arial" w:hAnsi="Arial" w:cs="Arial"/>
          <w:sz w:val="22"/>
          <w:szCs w:val="22"/>
        </w:rPr>
        <w:t>8</w:t>
      </w:r>
      <w:r>
        <w:rPr>
          <w:rFonts w:ascii="Arial" w:hAnsi="Arial" w:cs="Arial"/>
          <w:sz w:val="22"/>
          <w:szCs w:val="22"/>
        </w:rPr>
        <w:t xml:space="preserve">, </w:t>
      </w:r>
      <w:r w:rsidRPr="007C2337">
        <w:rPr>
          <w:rFonts w:ascii="Arial" w:hAnsi="Arial" w:cs="Arial"/>
          <w:sz w:val="22"/>
          <w:szCs w:val="22"/>
        </w:rPr>
        <w:t>9</w:t>
      </w:r>
      <w:r>
        <w:rPr>
          <w:rFonts w:ascii="Arial" w:hAnsi="Arial" w:cs="Arial"/>
          <w:sz w:val="22"/>
          <w:szCs w:val="22"/>
        </w:rPr>
        <w:t xml:space="preserve">, 10, </w:t>
      </w:r>
      <w:r w:rsidRPr="007C2337">
        <w:rPr>
          <w:rFonts w:ascii="Arial" w:hAnsi="Arial" w:cs="Arial"/>
          <w:sz w:val="22"/>
          <w:szCs w:val="22"/>
        </w:rPr>
        <w:t>12</w:t>
      </w:r>
      <w:r>
        <w:rPr>
          <w:rFonts w:ascii="Arial" w:hAnsi="Arial" w:cs="Arial"/>
          <w:sz w:val="22"/>
          <w:szCs w:val="22"/>
        </w:rPr>
        <w:t xml:space="preserve">, 13, 19 y </w:t>
      </w:r>
      <w:r w:rsidRPr="007C2337">
        <w:rPr>
          <w:rFonts w:ascii="Arial" w:hAnsi="Arial" w:cs="Arial"/>
          <w:sz w:val="22"/>
          <w:szCs w:val="22"/>
        </w:rPr>
        <w:t>21</w:t>
      </w:r>
      <w:r>
        <w:rPr>
          <w:rFonts w:ascii="Arial" w:hAnsi="Arial" w:cs="Arial"/>
          <w:sz w:val="22"/>
          <w:szCs w:val="22"/>
        </w:rPr>
        <w:t xml:space="preserve"> de la ARF 2021 que aún no había vencido la fecha de su </w:t>
      </w:r>
      <w:r w:rsidR="0059431E">
        <w:rPr>
          <w:rFonts w:ascii="Arial" w:hAnsi="Arial" w:cs="Arial"/>
          <w:sz w:val="22"/>
          <w:szCs w:val="22"/>
        </w:rPr>
        <w:t xml:space="preserve">ejecución </w:t>
      </w:r>
      <w:r>
        <w:rPr>
          <w:rFonts w:ascii="Arial" w:hAnsi="Arial" w:cs="Arial"/>
          <w:sz w:val="22"/>
          <w:szCs w:val="22"/>
        </w:rPr>
        <w:t xml:space="preserve">o </w:t>
      </w:r>
      <w:r w:rsidR="0059431E">
        <w:rPr>
          <w:rFonts w:ascii="Arial" w:hAnsi="Arial" w:cs="Arial"/>
          <w:sz w:val="22"/>
          <w:szCs w:val="22"/>
        </w:rPr>
        <w:t xml:space="preserve">que estas </w:t>
      </w:r>
      <w:r>
        <w:rPr>
          <w:rFonts w:ascii="Arial" w:hAnsi="Arial" w:cs="Arial"/>
          <w:sz w:val="22"/>
          <w:szCs w:val="22"/>
        </w:rPr>
        <w:t>no habían alcanzado su cumplimiento.</w:t>
      </w:r>
    </w:p>
    <w:p w14:paraId="1C341336" w14:textId="77777777" w:rsidR="007C2337" w:rsidRDefault="007C2337" w:rsidP="005807DC">
      <w:pPr>
        <w:jc w:val="both"/>
        <w:rPr>
          <w:rFonts w:ascii="Arial" w:hAnsi="Arial" w:cs="Arial"/>
          <w:sz w:val="22"/>
          <w:szCs w:val="22"/>
        </w:rPr>
      </w:pPr>
    </w:p>
    <w:p w14:paraId="32920200" w14:textId="3B9E61C3" w:rsidR="0064730B" w:rsidRPr="009E31A5" w:rsidRDefault="0064730B" w:rsidP="00C31601">
      <w:pPr>
        <w:jc w:val="both"/>
        <w:rPr>
          <w:rFonts w:ascii="Arial" w:hAnsi="Arial" w:cs="Arial"/>
          <w:sz w:val="22"/>
          <w:szCs w:val="22"/>
        </w:rPr>
      </w:pPr>
      <w:r w:rsidRPr="009E31A5">
        <w:rPr>
          <w:rFonts w:ascii="Arial" w:hAnsi="Arial" w:cs="Arial"/>
          <w:b/>
          <w:bCs/>
          <w:sz w:val="22"/>
          <w:szCs w:val="22"/>
        </w:rPr>
        <w:t xml:space="preserve">3. CRITERIOS </w:t>
      </w:r>
    </w:p>
    <w:p w14:paraId="0D8A0310" w14:textId="77777777" w:rsidR="00C31601" w:rsidRPr="009E31A5" w:rsidRDefault="00C31601" w:rsidP="00C31601">
      <w:pPr>
        <w:jc w:val="both"/>
        <w:rPr>
          <w:rFonts w:ascii="Arial" w:hAnsi="Arial" w:cs="Arial"/>
          <w:sz w:val="22"/>
          <w:szCs w:val="22"/>
        </w:rPr>
      </w:pPr>
    </w:p>
    <w:p w14:paraId="266394D1" w14:textId="5F2B6C4F" w:rsidR="0064730B" w:rsidRPr="009E31A5" w:rsidRDefault="0064730B" w:rsidP="00C31601">
      <w:pPr>
        <w:jc w:val="both"/>
        <w:rPr>
          <w:rFonts w:ascii="Arial" w:hAnsi="Arial" w:cs="Arial"/>
          <w:sz w:val="22"/>
          <w:szCs w:val="22"/>
        </w:rPr>
      </w:pPr>
      <w:r w:rsidRPr="009E31A5">
        <w:rPr>
          <w:rFonts w:ascii="Arial" w:hAnsi="Arial" w:cs="Arial"/>
          <w:sz w:val="22"/>
          <w:szCs w:val="22"/>
        </w:rPr>
        <w:t xml:space="preserve">Para adelantar el seguimiento a los planes de mejoramiento se han establecido los siguientes criterios: </w:t>
      </w:r>
    </w:p>
    <w:p w14:paraId="1FE7033E" w14:textId="77777777" w:rsidR="00C31601" w:rsidRPr="009E31A5" w:rsidRDefault="00C31601" w:rsidP="00C31601">
      <w:pPr>
        <w:jc w:val="both"/>
        <w:rPr>
          <w:rFonts w:ascii="Arial" w:hAnsi="Arial" w:cs="Arial"/>
          <w:sz w:val="22"/>
          <w:szCs w:val="22"/>
        </w:rPr>
      </w:pPr>
    </w:p>
    <w:p w14:paraId="5550CF18" w14:textId="3BC99319" w:rsidR="0064730B" w:rsidRPr="00B3795E" w:rsidRDefault="0064730B" w:rsidP="00C31601">
      <w:pPr>
        <w:numPr>
          <w:ilvl w:val="0"/>
          <w:numId w:val="2"/>
        </w:numPr>
        <w:jc w:val="both"/>
        <w:rPr>
          <w:rFonts w:ascii="Arial" w:eastAsia="Times New Roman" w:hAnsi="Arial" w:cs="Arial"/>
          <w:i/>
          <w:iCs/>
          <w:sz w:val="22"/>
          <w:szCs w:val="22"/>
          <w:lang w:eastAsia="es-ES_tradnl"/>
        </w:rPr>
      </w:pPr>
      <w:r w:rsidRPr="009E31A5">
        <w:rPr>
          <w:rFonts w:ascii="Arial" w:eastAsia="Times New Roman" w:hAnsi="Arial" w:cs="Arial"/>
          <w:color w:val="0C0C0C"/>
          <w:sz w:val="22"/>
          <w:szCs w:val="22"/>
          <w:lang w:eastAsia="es-ES_tradnl"/>
        </w:rPr>
        <w:t>Resolución Reglamentaria Orgánica 042 del 25 de agosto de 2020, “</w:t>
      </w:r>
      <w:r w:rsidRPr="009E31A5">
        <w:rPr>
          <w:rFonts w:ascii="Arial" w:eastAsia="Times New Roman" w:hAnsi="Arial" w:cs="Arial"/>
          <w:i/>
          <w:iCs/>
          <w:color w:val="0C0C0C"/>
          <w:sz w:val="22"/>
          <w:szCs w:val="22"/>
          <w:lang w:eastAsia="es-ES_tradnl"/>
        </w:rPr>
        <w:t xml:space="preserve">Por la cual se reglamenta la rendición electrónica de la cuenta, los informes y otra información que realizan los sujetos de vigilancia y control fiscal a la Contraloría General de la </w:t>
      </w:r>
      <w:r w:rsidRPr="009E31A5">
        <w:rPr>
          <w:rFonts w:ascii="Arial" w:eastAsia="Times New Roman" w:hAnsi="Arial" w:cs="Arial"/>
          <w:i/>
          <w:iCs/>
          <w:color w:val="0C0C0C"/>
          <w:sz w:val="22"/>
          <w:szCs w:val="22"/>
          <w:lang w:eastAsia="es-ES_tradnl"/>
        </w:rPr>
        <w:lastRenderedPageBreak/>
        <w:t>República a través del Sistema de Rendición Electrónico de la Cuenta e Informes y Otra Información (SIRECI)”</w:t>
      </w:r>
    </w:p>
    <w:p w14:paraId="42A8CB08" w14:textId="532BD997" w:rsidR="0064730B" w:rsidRPr="009E31A5" w:rsidRDefault="0064730B" w:rsidP="00C31601">
      <w:pPr>
        <w:numPr>
          <w:ilvl w:val="0"/>
          <w:numId w:val="2"/>
        </w:numPr>
        <w:jc w:val="both"/>
        <w:rPr>
          <w:rFonts w:ascii="Arial" w:eastAsia="Times New Roman" w:hAnsi="Arial" w:cs="Arial"/>
          <w:sz w:val="22"/>
          <w:szCs w:val="22"/>
          <w:lang w:eastAsia="es-ES_tradnl"/>
        </w:rPr>
      </w:pPr>
      <w:r w:rsidRPr="009E31A5">
        <w:rPr>
          <w:rFonts w:ascii="Arial" w:eastAsia="Times New Roman" w:hAnsi="Arial" w:cs="Arial"/>
          <w:color w:val="0C0C0C"/>
          <w:sz w:val="22"/>
          <w:szCs w:val="22"/>
          <w:lang w:eastAsia="es-ES_tradnl"/>
        </w:rPr>
        <w:t>Circular 015 del 30 septiembre de 2020 CGR Lineamientos a planes de mejoramiento.</w:t>
      </w:r>
    </w:p>
    <w:p w14:paraId="00D6C73A" w14:textId="21C74FA8" w:rsidR="0059431E" w:rsidRDefault="001D77CB" w:rsidP="0059431E">
      <w:pPr>
        <w:numPr>
          <w:ilvl w:val="0"/>
          <w:numId w:val="2"/>
        </w:numPr>
        <w:jc w:val="both"/>
        <w:rPr>
          <w:rFonts w:ascii="Arial" w:eastAsia="Times New Roman" w:hAnsi="Arial" w:cs="Arial"/>
          <w:sz w:val="22"/>
          <w:szCs w:val="22"/>
          <w:lang w:eastAsia="es-ES_tradnl"/>
        </w:rPr>
      </w:pPr>
      <w:r w:rsidRPr="009E31A5">
        <w:rPr>
          <w:rFonts w:ascii="Arial" w:eastAsia="Times New Roman" w:hAnsi="Arial" w:cs="Arial"/>
          <w:color w:val="0C0C0C"/>
          <w:sz w:val="22"/>
          <w:szCs w:val="22"/>
          <w:lang w:eastAsia="es-ES_tradnl"/>
        </w:rPr>
        <w:t>Según</w:t>
      </w:r>
      <w:r w:rsidR="0064730B" w:rsidRPr="009E31A5">
        <w:rPr>
          <w:rFonts w:ascii="Arial" w:eastAsia="Times New Roman" w:hAnsi="Arial" w:cs="Arial"/>
          <w:color w:val="0C0C0C"/>
          <w:sz w:val="22"/>
          <w:szCs w:val="22"/>
          <w:lang w:eastAsia="es-ES_tradnl"/>
        </w:rPr>
        <w:t xml:space="preserve"> </w:t>
      </w:r>
      <w:r w:rsidR="0064730B" w:rsidRPr="009E31A5">
        <w:rPr>
          <w:rFonts w:ascii="Arial" w:eastAsia="Times New Roman" w:hAnsi="Arial" w:cs="Arial"/>
          <w:sz w:val="22"/>
          <w:szCs w:val="22"/>
          <w:lang w:eastAsia="es-ES_tradnl"/>
        </w:rPr>
        <w:t xml:space="preserve">los </w:t>
      </w:r>
      <w:r w:rsidRPr="009E31A5">
        <w:rPr>
          <w:rFonts w:ascii="Arial" w:eastAsia="Times New Roman" w:hAnsi="Arial" w:cs="Arial"/>
          <w:sz w:val="22"/>
          <w:szCs w:val="22"/>
          <w:lang w:eastAsia="es-ES_tradnl"/>
        </w:rPr>
        <w:t>parámetros</w:t>
      </w:r>
      <w:r w:rsidR="0064730B" w:rsidRPr="009E31A5">
        <w:rPr>
          <w:rFonts w:ascii="Arial" w:eastAsia="Times New Roman" w:hAnsi="Arial" w:cs="Arial"/>
          <w:sz w:val="22"/>
          <w:szCs w:val="22"/>
          <w:lang w:eastAsia="es-ES_tradnl"/>
        </w:rPr>
        <w:t xml:space="preserve"> establecidos en el </w:t>
      </w:r>
      <w:r w:rsidR="0064730B" w:rsidRPr="009E31A5">
        <w:rPr>
          <w:rFonts w:ascii="Arial" w:eastAsia="Times New Roman" w:hAnsi="Arial" w:cs="Arial"/>
          <w:i/>
          <w:iCs/>
          <w:sz w:val="22"/>
          <w:szCs w:val="22"/>
          <w:lang w:eastAsia="es-ES_tradnl"/>
        </w:rPr>
        <w:t xml:space="preserve">“Sistema de </w:t>
      </w:r>
      <w:r w:rsidRPr="009E31A5">
        <w:rPr>
          <w:rFonts w:ascii="Arial" w:eastAsia="Times New Roman" w:hAnsi="Arial" w:cs="Arial"/>
          <w:i/>
          <w:iCs/>
          <w:sz w:val="22"/>
          <w:szCs w:val="22"/>
          <w:lang w:eastAsia="es-ES_tradnl"/>
        </w:rPr>
        <w:t>Información</w:t>
      </w:r>
      <w:r w:rsidR="0064730B" w:rsidRPr="009E31A5">
        <w:rPr>
          <w:rFonts w:ascii="Arial" w:eastAsia="Times New Roman" w:hAnsi="Arial" w:cs="Arial"/>
          <w:i/>
          <w:iCs/>
          <w:sz w:val="22"/>
          <w:szCs w:val="22"/>
          <w:lang w:eastAsia="es-ES_tradnl"/>
        </w:rPr>
        <w:t xml:space="preserve"> de Planes de Mejoramiento – SISPLAM”</w:t>
      </w:r>
      <w:r w:rsidR="0064730B" w:rsidRPr="009E31A5">
        <w:rPr>
          <w:rFonts w:ascii="Arial" w:eastAsia="Times New Roman" w:hAnsi="Arial" w:cs="Arial"/>
          <w:sz w:val="22"/>
          <w:szCs w:val="22"/>
          <w:lang w:eastAsia="es-ES_tradnl"/>
        </w:rPr>
        <w:t xml:space="preserve">, de la FGN, se </w:t>
      </w:r>
      <w:r w:rsidRPr="009E31A5">
        <w:rPr>
          <w:rFonts w:ascii="Arial" w:eastAsia="Times New Roman" w:hAnsi="Arial" w:cs="Arial"/>
          <w:sz w:val="22"/>
          <w:szCs w:val="22"/>
          <w:lang w:eastAsia="es-ES_tradnl"/>
        </w:rPr>
        <w:t>definió</w:t>
      </w:r>
      <w:r w:rsidR="0064730B" w:rsidRPr="009E31A5">
        <w:rPr>
          <w:rFonts w:ascii="Arial" w:eastAsia="Times New Roman" w:hAnsi="Arial" w:cs="Arial"/>
          <w:sz w:val="22"/>
          <w:szCs w:val="22"/>
          <w:lang w:eastAsia="es-ES_tradnl"/>
        </w:rPr>
        <w:t xml:space="preserve">́ un sistema de alertas con la </w:t>
      </w:r>
      <w:r w:rsidRPr="009E31A5">
        <w:rPr>
          <w:rFonts w:ascii="Arial" w:eastAsia="Times New Roman" w:hAnsi="Arial" w:cs="Arial"/>
          <w:sz w:val="22"/>
          <w:szCs w:val="22"/>
          <w:lang w:eastAsia="es-ES_tradnl"/>
        </w:rPr>
        <w:t>metodología</w:t>
      </w:r>
      <w:r w:rsidR="0064730B" w:rsidRPr="009E31A5">
        <w:rPr>
          <w:rFonts w:ascii="Arial" w:eastAsia="Times New Roman" w:hAnsi="Arial" w:cs="Arial"/>
          <w:sz w:val="22"/>
          <w:szCs w:val="22"/>
          <w:lang w:eastAsia="es-ES_tradnl"/>
        </w:rPr>
        <w:t xml:space="preserve"> de </w:t>
      </w:r>
      <w:r w:rsidRPr="009E31A5">
        <w:rPr>
          <w:rFonts w:ascii="Arial" w:eastAsia="Times New Roman" w:hAnsi="Arial" w:cs="Arial"/>
          <w:sz w:val="22"/>
          <w:szCs w:val="22"/>
          <w:lang w:eastAsia="es-ES_tradnl"/>
        </w:rPr>
        <w:t>semáforos</w:t>
      </w:r>
      <w:r w:rsidR="0064730B" w:rsidRPr="009E31A5">
        <w:rPr>
          <w:rFonts w:ascii="Arial" w:eastAsia="Times New Roman" w:hAnsi="Arial" w:cs="Arial"/>
          <w:sz w:val="22"/>
          <w:szCs w:val="22"/>
          <w:lang w:eastAsia="es-ES_tradnl"/>
        </w:rPr>
        <w:t xml:space="preserve">, el nivel de cumplimiento se puede clasificar </w:t>
      </w:r>
      <w:r w:rsidRPr="009E31A5">
        <w:rPr>
          <w:rFonts w:ascii="Arial" w:eastAsia="Times New Roman" w:hAnsi="Arial" w:cs="Arial"/>
          <w:sz w:val="22"/>
          <w:szCs w:val="22"/>
          <w:lang w:eastAsia="es-ES_tradnl"/>
        </w:rPr>
        <w:t>así</w:t>
      </w:r>
      <w:r w:rsidR="0064730B" w:rsidRPr="009E31A5">
        <w:rPr>
          <w:rFonts w:ascii="Arial" w:eastAsia="Times New Roman" w:hAnsi="Arial" w:cs="Arial"/>
          <w:sz w:val="22"/>
          <w:szCs w:val="22"/>
          <w:lang w:eastAsia="es-ES_tradnl"/>
        </w:rPr>
        <w:t xml:space="preserve">́: </w:t>
      </w:r>
    </w:p>
    <w:p w14:paraId="37B57D11" w14:textId="77777777" w:rsidR="0059431E" w:rsidRPr="0059431E" w:rsidRDefault="0059431E" w:rsidP="0059431E">
      <w:pPr>
        <w:jc w:val="both"/>
        <w:rPr>
          <w:rFonts w:ascii="Arial" w:eastAsia="Times New Roman" w:hAnsi="Arial" w:cs="Arial"/>
          <w:sz w:val="22"/>
          <w:szCs w:val="22"/>
          <w:lang w:eastAsia="es-ES_tradnl"/>
        </w:rPr>
      </w:pPr>
    </w:p>
    <w:p w14:paraId="0A9EE694" w14:textId="5E6A859F" w:rsidR="0064730B" w:rsidRPr="00A301D0" w:rsidRDefault="00DD144B" w:rsidP="00C31601">
      <w:pPr>
        <w:contextualSpacing/>
        <w:jc w:val="center"/>
        <w:rPr>
          <w:rFonts w:ascii="Arial" w:hAnsi="Arial" w:cs="Arial"/>
          <w:i/>
          <w:iCs/>
          <w:sz w:val="20"/>
          <w:szCs w:val="20"/>
        </w:rPr>
      </w:pPr>
      <w:r w:rsidRPr="00A301D0">
        <w:rPr>
          <w:rFonts w:ascii="Arial" w:hAnsi="Arial" w:cs="Arial"/>
          <w:b/>
          <w:bCs/>
          <w:i/>
          <w:iCs/>
          <w:sz w:val="20"/>
          <w:szCs w:val="20"/>
        </w:rPr>
        <w:t xml:space="preserve">TABLA N°. 2 </w:t>
      </w:r>
      <w:r w:rsidR="0064730B" w:rsidRPr="00A301D0">
        <w:rPr>
          <w:rFonts w:ascii="Arial" w:hAnsi="Arial" w:cs="Arial"/>
          <w:b/>
          <w:bCs/>
          <w:i/>
          <w:iCs/>
          <w:sz w:val="20"/>
          <w:szCs w:val="20"/>
        </w:rPr>
        <w:t>SEMÁFORO DE CALIFICACIÓN</w:t>
      </w:r>
    </w:p>
    <w:p w14:paraId="45D4D6D4" w14:textId="77777777" w:rsidR="00DD144B" w:rsidRPr="00DD144B" w:rsidRDefault="00DD144B" w:rsidP="00C31601">
      <w:pPr>
        <w:contextualSpacing/>
        <w:jc w:val="center"/>
        <w:rPr>
          <w:rFonts w:ascii="Arial" w:hAnsi="Arial" w:cs="Arial"/>
          <w:b/>
          <w:bCs/>
          <w:i/>
          <w:iCs/>
          <w:sz w:val="20"/>
          <w:szCs w:val="22"/>
        </w:rPr>
      </w:pPr>
    </w:p>
    <w:tbl>
      <w:tblPr>
        <w:tblStyle w:val="Tablaconcuadrcula"/>
        <w:tblW w:w="0" w:type="auto"/>
        <w:jc w:val="center"/>
        <w:tblLook w:val="04A0" w:firstRow="1" w:lastRow="0" w:firstColumn="1" w:lastColumn="0" w:noHBand="0" w:noVBand="1"/>
      </w:tblPr>
      <w:tblGrid>
        <w:gridCol w:w="1766"/>
        <w:gridCol w:w="3692"/>
      </w:tblGrid>
      <w:tr w:rsidR="0064730B" w:rsidRPr="009E31A5" w14:paraId="6818F499" w14:textId="77777777" w:rsidTr="0059431E">
        <w:trPr>
          <w:trHeight w:val="332"/>
          <w:jc w:val="center"/>
        </w:trPr>
        <w:tc>
          <w:tcPr>
            <w:tcW w:w="1766" w:type="dxa"/>
            <w:shd w:val="clear" w:color="auto" w:fill="FF0000"/>
          </w:tcPr>
          <w:p w14:paraId="17D94C37" w14:textId="41D3FF7E" w:rsidR="0064730B" w:rsidRPr="009E31A5" w:rsidRDefault="0064730B" w:rsidP="00C31601">
            <w:pPr>
              <w:jc w:val="both"/>
              <w:rPr>
                <w:rFonts w:ascii="Arial" w:eastAsia="Times New Roman" w:hAnsi="Arial" w:cs="Arial"/>
                <w:b/>
                <w:sz w:val="18"/>
                <w:szCs w:val="18"/>
                <w:lang w:eastAsia="es-ES_tradnl"/>
              </w:rPr>
            </w:pPr>
            <w:r w:rsidRPr="009E31A5">
              <w:rPr>
                <w:rFonts w:ascii="Arial" w:eastAsia="Times New Roman" w:hAnsi="Arial" w:cs="Arial"/>
                <w:b/>
                <w:sz w:val="18"/>
                <w:szCs w:val="18"/>
                <w:lang w:eastAsia="es-ES_tradnl"/>
              </w:rPr>
              <w:t>INCIPIENTE</w:t>
            </w:r>
          </w:p>
        </w:tc>
        <w:tc>
          <w:tcPr>
            <w:tcW w:w="3692" w:type="dxa"/>
          </w:tcPr>
          <w:p w14:paraId="064D8CA3" w14:textId="4A7DD9B6" w:rsidR="0064730B" w:rsidRPr="009E31A5" w:rsidRDefault="0064730B" w:rsidP="00C31601">
            <w:pPr>
              <w:jc w:val="both"/>
              <w:rPr>
                <w:rFonts w:ascii="Arial" w:eastAsia="Times New Roman" w:hAnsi="Arial" w:cs="Arial"/>
                <w:sz w:val="18"/>
                <w:szCs w:val="18"/>
                <w:lang w:eastAsia="es-ES_tradnl"/>
              </w:rPr>
            </w:pPr>
            <w:r w:rsidRPr="009E31A5">
              <w:rPr>
                <w:rFonts w:ascii="Arial" w:eastAsia="Times New Roman" w:hAnsi="Arial" w:cs="Arial"/>
                <w:sz w:val="18"/>
                <w:szCs w:val="18"/>
                <w:lang w:eastAsia="es-ES_tradnl"/>
              </w:rPr>
              <w:t>Entre el 0% y menor o igual al 70%</w:t>
            </w:r>
          </w:p>
        </w:tc>
      </w:tr>
      <w:tr w:rsidR="0064730B" w:rsidRPr="009E31A5" w14:paraId="11C59D29" w14:textId="77777777" w:rsidTr="0059431E">
        <w:trPr>
          <w:trHeight w:val="321"/>
          <w:jc w:val="center"/>
        </w:trPr>
        <w:tc>
          <w:tcPr>
            <w:tcW w:w="1766" w:type="dxa"/>
            <w:shd w:val="clear" w:color="auto" w:fill="FFFF00"/>
          </w:tcPr>
          <w:p w14:paraId="206C71F1" w14:textId="0472FA75" w:rsidR="0064730B" w:rsidRPr="009E31A5" w:rsidRDefault="0064730B" w:rsidP="00C31601">
            <w:pPr>
              <w:jc w:val="both"/>
              <w:rPr>
                <w:rFonts w:ascii="Arial" w:eastAsia="Times New Roman" w:hAnsi="Arial" w:cs="Arial"/>
                <w:b/>
                <w:color w:val="000000" w:themeColor="text1"/>
                <w:sz w:val="18"/>
                <w:szCs w:val="18"/>
                <w:lang w:eastAsia="es-ES_tradnl"/>
              </w:rPr>
            </w:pPr>
            <w:r w:rsidRPr="009E31A5">
              <w:rPr>
                <w:rFonts w:ascii="Arial" w:eastAsia="Times New Roman" w:hAnsi="Arial" w:cs="Arial"/>
                <w:b/>
                <w:color w:val="000000" w:themeColor="text1"/>
                <w:sz w:val="18"/>
                <w:szCs w:val="18"/>
                <w:lang w:eastAsia="es-ES_tradnl"/>
              </w:rPr>
              <w:t>SATISFACTORIO</w:t>
            </w:r>
          </w:p>
        </w:tc>
        <w:tc>
          <w:tcPr>
            <w:tcW w:w="3692" w:type="dxa"/>
          </w:tcPr>
          <w:p w14:paraId="7B5BF4A7" w14:textId="2AFE729F" w:rsidR="0064730B" w:rsidRPr="009E31A5" w:rsidRDefault="0064730B" w:rsidP="00C31601">
            <w:pPr>
              <w:jc w:val="both"/>
              <w:rPr>
                <w:rFonts w:ascii="Arial" w:eastAsia="Times New Roman" w:hAnsi="Arial" w:cs="Arial"/>
                <w:color w:val="000000" w:themeColor="text1"/>
                <w:sz w:val="18"/>
                <w:szCs w:val="18"/>
                <w:lang w:eastAsia="es-ES_tradnl"/>
              </w:rPr>
            </w:pPr>
            <w:r w:rsidRPr="009E31A5">
              <w:rPr>
                <w:rFonts w:ascii="Arial" w:eastAsia="Times New Roman" w:hAnsi="Arial" w:cs="Arial"/>
                <w:color w:val="000000" w:themeColor="text1"/>
                <w:sz w:val="18"/>
                <w:szCs w:val="18"/>
                <w:lang w:eastAsia="es-ES_tradnl"/>
              </w:rPr>
              <w:t>Mayor al 70% y Menor o igual al 90%</w:t>
            </w:r>
          </w:p>
        </w:tc>
      </w:tr>
      <w:tr w:rsidR="0064730B" w:rsidRPr="009E31A5" w14:paraId="0AC774DA" w14:textId="77777777" w:rsidTr="0059431E">
        <w:trPr>
          <w:trHeight w:val="321"/>
          <w:jc w:val="center"/>
        </w:trPr>
        <w:tc>
          <w:tcPr>
            <w:tcW w:w="1766" w:type="dxa"/>
            <w:shd w:val="clear" w:color="auto" w:fill="92D050"/>
          </w:tcPr>
          <w:p w14:paraId="652AF659" w14:textId="61EDA551" w:rsidR="0064730B" w:rsidRPr="009E31A5" w:rsidRDefault="0064730B" w:rsidP="00C31601">
            <w:pPr>
              <w:jc w:val="both"/>
              <w:rPr>
                <w:rFonts w:ascii="Arial" w:eastAsia="Times New Roman" w:hAnsi="Arial" w:cs="Arial"/>
                <w:b/>
                <w:sz w:val="18"/>
                <w:szCs w:val="18"/>
                <w:lang w:eastAsia="es-ES_tradnl"/>
              </w:rPr>
            </w:pPr>
            <w:r w:rsidRPr="009E31A5">
              <w:rPr>
                <w:rFonts w:ascii="Arial" w:eastAsia="Times New Roman" w:hAnsi="Arial" w:cs="Arial"/>
                <w:b/>
                <w:sz w:val="18"/>
                <w:szCs w:val="18"/>
                <w:lang w:eastAsia="es-ES_tradnl"/>
              </w:rPr>
              <w:t>EXCELENTE</w:t>
            </w:r>
          </w:p>
        </w:tc>
        <w:tc>
          <w:tcPr>
            <w:tcW w:w="3692" w:type="dxa"/>
          </w:tcPr>
          <w:p w14:paraId="3C39A6F9" w14:textId="29385045" w:rsidR="0064730B" w:rsidRPr="009E31A5" w:rsidRDefault="0064730B" w:rsidP="00C31601">
            <w:pPr>
              <w:jc w:val="both"/>
              <w:rPr>
                <w:rFonts w:ascii="Arial" w:eastAsia="Times New Roman" w:hAnsi="Arial" w:cs="Arial"/>
                <w:sz w:val="18"/>
                <w:szCs w:val="18"/>
                <w:lang w:eastAsia="es-ES_tradnl"/>
              </w:rPr>
            </w:pPr>
            <w:r w:rsidRPr="009E31A5">
              <w:rPr>
                <w:rFonts w:ascii="Arial" w:eastAsia="Times New Roman" w:hAnsi="Arial" w:cs="Arial"/>
                <w:sz w:val="18"/>
                <w:szCs w:val="18"/>
                <w:lang w:eastAsia="es-ES_tradnl"/>
              </w:rPr>
              <w:t>Mayor al 90% Menor o igual al 100%</w:t>
            </w:r>
          </w:p>
        </w:tc>
      </w:tr>
    </w:tbl>
    <w:p w14:paraId="53C4B110" w14:textId="77777777" w:rsidR="00B3795E" w:rsidRDefault="00B3795E" w:rsidP="00C31601">
      <w:pPr>
        <w:rPr>
          <w:rFonts w:ascii="Arial" w:hAnsi="Arial" w:cs="Arial"/>
          <w:b/>
          <w:bCs/>
          <w:sz w:val="22"/>
          <w:szCs w:val="22"/>
        </w:rPr>
      </w:pPr>
    </w:p>
    <w:p w14:paraId="0534E84F" w14:textId="450BB34A" w:rsidR="00AA0AE3" w:rsidRPr="00B3795E" w:rsidRDefault="00AA0AE3" w:rsidP="00C31601">
      <w:pPr>
        <w:rPr>
          <w:rFonts w:ascii="Arial" w:hAnsi="Arial" w:cs="Arial"/>
          <w:sz w:val="22"/>
          <w:szCs w:val="22"/>
        </w:rPr>
      </w:pPr>
      <w:r w:rsidRPr="00B3795E">
        <w:rPr>
          <w:rFonts w:ascii="Arial" w:hAnsi="Arial" w:cs="Arial"/>
          <w:b/>
          <w:bCs/>
          <w:sz w:val="22"/>
          <w:szCs w:val="22"/>
        </w:rPr>
        <w:t xml:space="preserve">4. LIMITACIONES </w:t>
      </w:r>
    </w:p>
    <w:p w14:paraId="583EC786" w14:textId="77777777" w:rsidR="00C31601" w:rsidRPr="00B3795E" w:rsidRDefault="00C31601" w:rsidP="00C31601">
      <w:pPr>
        <w:jc w:val="both"/>
        <w:rPr>
          <w:rFonts w:ascii="Arial" w:eastAsia="Times New Roman" w:hAnsi="Arial" w:cs="Arial"/>
          <w:sz w:val="22"/>
          <w:szCs w:val="22"/>
          <w:lang w:eastAsia="es-ES_tradnl"/>
        </w:rPr>
      </w:pPr>
    </w:p>
    <w:p w14:paraId="4A232B08" w14:textId="646B9CF9" w:rsidR="00561D79" w:rsidRPr="00B3795E" w:rsidRDefault="002974ED" w:rsidP="002974ED">
      <w:pPr>
        <w:jc w:val="both"/>
        <w:rPr>
          <w:rFonts w:ascii="Arial" w:hAnsi="Arial" w:cs="Arial"/>
          <w:sz w:val="22"/>
          <w:szCs w:val="22"/>
        </w:rPr>
      </w:pPr>
      <w:r w:rsidRPr="00B3795E">
        <w:rPr>
          <w:rFonts w:ascii="Arial" w:hAnsi="Arial" w:cs="Arial"/>
          <w:sz w:val="22"/>
          <w:szCs w:val="22"/>
        </w:rPr>
        <w:t xml:space="preserve">Para el presente seguimiento no fue posible utilizar la aplicación institucional SISPLAM, en el entendido que la plataforma sólo funciona con la versión antigua del internet Explorer, lo cual dificulta el acceso de los resultados, oportunidad en la alimentación de los niveles de avance por parte de los usuarios responsables de las metas, así como para el registro </w:t>
      </w:r>
      <w:r w:rsidR="00986794">
        <w:rPr>
          <w:rFonts w:ascii="Arial" w:hAnsi="Arial" w:cs="Arial"/>
          <w:sz w:val="22"/>
          <w:szCs w:val="22"/>
        </w:rPr>
        <w:t>y reporte d</w:t>
      </w:r>
      <w:r w:rsidRPr="00B3795E">
        <w:rPr>
          <w:rFonts w:ascii="Arial" w:hAnsi="Arial" w:cs="Arial"/>
          <w:sz w:val="22"/>
          <w:szCs w:val="22"/>
        </w:rPr>
        <w:t>el actual seguimiento</w:t>
      </w:r>
      <w:r w:rsidR="00EE0E58" w:rsidRPr="00B3795E">
        <w:rPr>
          <w:rFonts w:ascii="Arial" w:hAnsi="Arial" w:cs="Arial"/>
          <w:sz w:val="22"/>
          <w:szCs w:val="22"/>
        </w:rPr>
        <w:t>.</w:t>
      </w:r>
    </w:p>
    <w:p w14:paraId="22466D18" w14:textId="77777777" w:rsidR="0059431E" w:rsidRPr="00B3795E" w:rsidRDefault="0059431E" w:rsidP="002974ED">
      <w:pPr>
        <w:jc w:val="both"/>
        <w:rPr>
          <w:rFonts w:ascii="Arial" w:eastAsia="Times New Roman" w:hAnsi="Arial" w:cs="Arial"/>
          <w:sz w:val="22"/>
          <w:szCs w:val="22"/>
          <w:lang w:eastAsia="es-ES_tradnl"/>
        </w:rPr>
      </w:pPr>
    </w:p>
    <w:p w14:paraId="4589AE69" w14:textId="356561AA" w:rsidR="00AA0AE3" w:rsidRPr="00B3795E" w:rsidRDefault="001515EF" w:rsidP="00C31601">
      <w:pPr>
        <w:rPr>
          <w:rFonts w:ascii="Arial" w:hAnsi="Arial" w:cs="Arial"/>
          <w:sz w:val="22"/>
          <w:szCs w:val="22"/>
        </w:rPr>
      </w:pPr>
      <w:r w:rsidRPr="00B3795E">
        <w:rPr>
          <w:rFonts w:ascii="Arial" w:hAnsi="Arial" w:cs="Arial"/>
          <w:b/>
          <w:bCs/>
          <w:sz w:val="22"/>
          <w:szCs w:val="22"/>
        </w:rPr>
        <w:t>5</w:t>
      </w:r>
      <w:r w:rsidR="00662C7B" w:rsidRPr="00B3795E">
        <w:rPr>
          <w:rFonts w:ascii="Arial" w:hAnsi="Arial" w:cs="Arial"/>
          <w:b/>
          <w:bCs/>
          <w:sz w:val="22"/>
          <w:szCs w:val="22"/>
        </w:rPr>
        <w:t xml:space="preserve">. </w:t>
      </w:r>
      <w:r w:rsidR="00AA0AE3" w:rsidRPr="00B3795E">
        <w:rPr>
          <w:rFonts w:ascii="Arial" w:hAnsi="Arial" w:cs="Arial"/>
          <w:b/>
          <w:bCs/>
          <w:sz w:val="22"/>
          <w:szCs w:val="22"/>
        </w:rPr>
        <w:t xml:space="preserve">RESULTADOS DE LA EVALUACIÓN </w:t>
      </w:r>
    </w:p>
    <w:p w14:paraId="0F5F86A0" w14:textId="77777777" w:rsidR="00CF7FED" w:rsidRPr="00B3795E" w:rsidRDefault="00CF7FED" w:rsidP="00C31601">
      <w:pPr>
        <w:jc w:val="both"/>
        <w:rPr>
          <w:rFonts w:ascii="Arial" w:hAnsi="Arial" w:cs="Arial"/>
          <w:sz w:val="22"/>
          <w:szCs w:val="22"/>
        </w:rPr>
      </w:pPr>
    </w:p>
    <w:p w14:paraId="424D1FF5" w14:textId="2B87853F" w:rsidR="008204DC" w:rsidRPr="00B3795E" w:rsidRDefault="00AA0AE3" w:rsidP="00C31601">
      <w:pPr>
        <w:jc w:val="both"/>
        <w:rPr>
          <w:rFonts w:ascii="Arial" w:hAnsi="Arial" w:cs="Arial"/>
          <w:sz w:val="22"/>
          <w:szCs w:val="22"/>
        </w:rPr>
      </w:pPr>
      <w:r w:rsidRPr="00B3795E">
        <w:rPr>
          <w:rFonts w:ascii="Arial" w:hAnsi="Arial" w:cs="Arial"/>
          <w:sz w:val="22"/>
          <w:szCs w:val="22"/>
        </w:rPr>
        <w:t xml:space="preserve">De acuerdo con los objetivos y alcance del seguimiento, se </w:t>
      </w:r>
      <w:r w:rsidR="00675C2E" w:rsidRPr="00B3795E">
        <w:rPr>
          <w:rFonts w:ascii="Arial" w:hAnsi="Arial" w:cs="Arial"/>
          <w:sz w:val="22"/>
          <w:szCs w:val="22"/>
        </w:rPr>
        <w:t>determinó</w:t>
      </w:r>
      <w:r w:rsidRPr="00B3795E">
        <w:rPr>
          <w:rFonts w:ascii="Arial" w:hAnsi="Arial" w:cs="Arial"/>
          <w:sz w:val="22"/>
          <w:szCs w:val="22"/>
        </w:rPr>
        <w:t xml:space="preserve"> el porcentaje de cumplimiento de aquellas metas que, en su momento, tuvieron como plazo de </w:t>
      </w:r>
      <w:r w:rsidR="00675C2E" w:rsidRPr="00B3795E">
        <w:rPr>
          <w:rFonts w:ascii="Arial" w:hAnsi="Arial" w:cs="Arial"/>
          <w:sz w:val="22"/>
          <w:szCs w:val="22"/>
        </w:rPr>
        <w:t>ejecución</w:t>
      </w:r>
      <w:r w:rsidRPr="00B3795E">
        <w:rPr>
          <w:rFonts w:ascii="Arial" w:hAnsi="Arial" w:cs="Arial"/>
          <w:sz w:val="22"/>
          <w:szCs w:val="22"/>
        </w:rPr>
        <w:t xml:space="preserve"> una fecha que se encuentra en el rango comprendido entre la </w:t>
      </w:r>
      <w:r w:rsidR="00675C2E" w:rsidRPr="00B3795E">
        <w:rPr>
          <w:rFonts w:ascii="Arial" w:hAnsi="Arial" w:cs="Arial"/>
          <w:sz w:val="22"/>
          <w:szCs w:val="22"/>
        </w:rPr>
        <w:t>suscripción</w:t>
      </w:r>
      <w:r w:rsidRPr="00B3795E">
        <w:rPr>
          <w:rFonts w:ascii="Arial" w:hAnsi="Arial" w:cs="Arial"/>
          <w:sz w:val="22"/>
          <w:szCs w:val="22"/>
        </w:rPr>
        <w:t xml:space="preserve"> del plan de </w:t>
      </w:r>
      <w:r w:rsidR="008204DC" w:rsidRPr="00B3795E">
        <w:rPr>
          <w:rFonts w:ascii="Arial" w:hAnsi="Arial" w:cs="Arial"/>
          <w:sz w:val="22"/>
          <w:szCs w:val="22"/>
        </w:rPr>
        <w:t xml:space="preserve">mejoramiento y el </w:t>
      </w:r>
      <w:r w:rsidR="005807DC">
        <w:rPr>
          <w:rFonts w:ascii="Arial" w:hAnsi="Arial" w:cs="Arial"/>
          <w:sz w:val="22"/>
          <w:szCs w:val="22"/>
        </w:rPr>
        <w:t>30</w:t>
      </w:r>
      <w:r w:rsidR="008204DC" w:rsidRPr="00B3795E">
        <w:rPr>
          <w:rFonts w:ascii="Arial" w:hAnsi="Arial" w:cs="Arial"/>
          <w:sz w:val="22"/>
          <w:szCs w:val="22"/>
        </w:rPr>
        <w:t xml:space="preserve"> de </w:t>
      </w:r>
      <w:r w:rsidR="005807DC">
        <w:rPr>
          <w:rFonts w:ascii="Arial" w:hAnsi="Arial" w:cs="Arial"/>
          <w:sz w:val="22"/>
          <w:szCs w:val="22"/>
        </w:rPr>
        <w:t xml:space="preserve">junio </w:t>
      </w:r>
      <w:r w:rsidR="008204DC" w:rsidRPr="00B3795E">
        <w:rPr>
          <w:rFonts w:ascii="Arial" w:hAnsi="Arial" w:cs="Arial"/>
          <w:sz w:val="22"/>
          <w:szCs w:val="22"/>
        </w:rPr>
        <w:t>de 202</w:t>
      </w:r>
      <w:r w:rsidR="005807DC">
        <w:rPr>
          <w:rFonts w:ascii="Arial" w:hAnsi="Arial" w:cs="Arial"/>
          <w:sz w:val="22"/>
          <w:szCs w:val="22"/>
        </w:rPr>
        <w:t>3</w:t>
      </w:r>
      <w:r w:rsidR="008204DC" w:rsidRPr="00B3795E">
        <w:rPr>
          <w:rFonts w:ascii="Arial" w:hAnsi="Arial" w:cs="Arial"/>
          <w:sz w:val="22"/>
          <w:szCs w:val="22"/>
        </w:rPr>
        <w:t xml:space="preserve">, fecha que la CGR ha establecido en la norma como corte para efectos del seguimiento semestral. </w:t>
      </w:r>
      <w:r w:rsidR="00ED6E7F">
        <w:rPr>
          <w:rFonts w:ascii="Arial" w:hAnsi="Arial" w:cs="Arial"/>
          <w:sz w:val="22"/>
          <w:szCs w:val="22"/>
        </w:rPr>
        <w:t>Así las cosas</w:t>
      </w:r>
      <w:r w:rsidR="008204DC" w:rsidRPr="00B3795E">
        <w:rPr>
          <w:rFonts w:ascii="Arial" w:hAnsi="Arial" w:cs="Arial"/>
          <w:sz w:val="22"/>
          <w:szCs w:val="22"/>
        </w:rPr>
        <w:t xml:space="preserve">, estas metas deberían encontrarse cumplidas para </w:t>
      </w:r>
      <w:r w:rsidR="001243FD">
        <w:rPr>
          <w:rFonts w:ascii="Arial" w:hAnsi="Arial" w:cs="Arial"/>
          <w:sz w:val="22"/>
          <w:szCs w:val="22"/>
        </w:rPr>
        <w:t xml:space="preserve">el momento </w:t>
      </w:r>
      <w:r w:rsidR="008204DC" w:rsidRPr="00B3795E">
        <w:rPr>
          <w:rFonts w:ascii="Arial" w:hAnsi="Arial" w:cs="Arial"/>
          <w:sz w:val="22"/>
          <w:szCs w:val="22"/>
        </w:rPr>
        <w:t xml:space="preserve">del seguimiento. Cabe señalar, </w:t>
      </w:r>
      <w:r w:rsidR="00675C2E" w:rsidRPr="00B3795E">
        <w:rPr>
          <w:rFonts w:ascii="Arial" w:hAnsi="Arial" w:cs="Arial"/>
          <w:sz w:val="22"/>
          <w:szCs w:val="22"/>
        </w:rPr>
        <w:t>que,</w:t>
      </w:r>
      <w:r w:rsidR="008204DC" w:rsidRPr="00B3795E">
        <w:rPr>
          <w:rFonts w:ascii="Arial" w:hAnsi="Arial" w:cs="Arial"/>
          <w:sz w:val="22"/>
          <w:szCs w:val="22"/>
        </w:rPr>
        <w:t xml:space="preserve"> como consecuen</w:t>
      </w:r>
      <w:r w:rsidR="00581AC5" w:rsidRPr="00B3795E">
        <w:rPr>
          <w:rFonts w:ascii="Arial" w:hAnsi="Arial" w:cs="Arial"/>
          <w:sz w:val="22"/>
          <w:szCs w:val="22"/>
        </w:rPr>
        <w:t>c</w:t>
      </w:r>
      <w:r w:rsidR="008204DC" w:rsidRPr="00B3795E">
        <w:rPr>
          <w:rFonts w:ascii="Arial" w:hAnsi="Arial" w:cs="Arial"/>
          <w:sz w:val="22"/>
          <w:szCs w:val="22"/>
        </w:rPr>
        <w:t>ia de evaluaciones anteriores, algunas dependencias realizaron nuevas propuestas de acciones de mejora, las cuales se incluyeron en este seguimiento</w:t>
      </w:r>
      <w:r w:rsidR="005A7D0E" w:rsidRPr="00B3795E">
        <w:rPr>
          <w:rFonts w:ascii="Arial" w:hAnsi="Arial" w:cs="Arial"/>
          <w:sz w:val="22"/>
          <w:szCs w:val="22"/>
        </w:rPr>
        <w:t>.</w:t>
      </w:r>
    </w:p>
    <w:p w14:paraId="7BFEAA02" w14:textId="77777777" w:rsidR="00CF7FED" w:rsidRPr="00B3795E" w:rsidRDefault="00CF7FED" w:rsidP="00C31601">
      <w:pPr>
        <w:jc w:val="both"/>
        <w:rPr>
          <w:rFonts w:ascii="Arial" w:hAnsi="Arial" w:cs="Arial"/>
          <w:sz w:val="22"/>
          <w:szCs w:val="22"/>
        </w:rPr>
      </w:pPr>
    </w:p>
    <w:p w14:paraId="23CFC469" w14:textId="5EBC61BE" w:rsidR="008204DC" w:rsidRPr="00B3795E" w:rsidRDefault="008204DC" w:rsidP="00C31601">
      <w:pPr>
        <w:jc w:val="both"/>
        <w:rPr>
          <w:rFonts w:ascii="Arial" w:hAnsi="Arial" w:cs="Arial"/>
          <w:sz w:val="22"/>
          <w:szCs w:val="22"/>
        </w:rPr>
      </w:pPr>
      <w:r w:rsidRPr="00B3795E">
        <w:rPr>
          <w:rFonts w:ascii="Arial" w:hAnsi="Arial" w:cs="Arial"/>
          <w:sz w:val="22"/>
          <w:szCs w:val="22"/>
        </w:rPr>
        <w:t>De igual manera, se estableció el nivel de avance del plan de mejoramiento. Es de señalar, que este resultado considera el comportamiento de la totalidad de las metas propuestas en el plan de mejoramiento, es decir, adicional a las metas que debían cumplirse al 100% para la fecha de corte, se deben incluir las metas cuya ejecución esté programada para una fecha posterior.</w:t>
      </w:r>
    </w:p>
    <w:p w14:paraId="1DCB0650" w14:textId="77777777" w:rsidR="00CF7FED" w:rsidRPr="00B3795E" w:rsidRDefault="00CF7FED" w:rsidP="00C31601">
      <w:pPr>
        <w:jc w:val="both"/>
        <w:rPr>
          <w:rFonts w:ascii="Arial" w:hAnsi="Arial" w:cs="Arial"/>
          <w:sz w:val="22"/>
          <w:szCs w:val="22"/>
        </w:rPr>
      </w:pPr>
    </w:p>
    <w:p w14:paraId="5B8A7149" w14:textId="4419E6B1" w:rsidR="005A7D0E" w:rsidRPr="00B3795E" w:rsidRDefault="008204DC" w:rsidP="00C31601">
      <w:pPr>
        <w:jc w:val="both"/>
        <w:rPr>
          <w:rFonts w:ascii="Arial" w:hAnsi="Arial" w:cs="Arial"/>
          <w:sz w:val="22"/>
          <w:szCs w:val="22"/>
        </w:rPr>
      </w:pPr>
      <w:r w:rsidRPr="00B3795E">
        <w:rPr>
          <w:rFonts w:ascii="Arial" w:hAnsi="Arial" w:cs="Arial"/>
          <w:sz w:val="22"/>
          <w:szCs w:val="22"/>
        </w:rPr>
        <w:t xml:space="preserve">La duración en semanas de cada </w:t>
      </w:r>
      <w:r w:rsidR="00675C2E" w:rsidRPr="00B3795E">
        <w:rPr>
          <w:rFonts w:ascii="Arial" w:hAnsi="Arial" w:cs="Arial"/>
          <w:sz w:val="22"/>
          <w:szCs w:val="22"/>
        </w:rPr>
        <w:t>meta</w:t>
      </w:r>
      <w:r w:rsidRPr="00B3795E">
        <w:rPr>
          <w:rFonts w:ascii="Arial" w:hAnsi="Arial" w:cs="Arial"/>
          <w:sz w:val="22"/>
          <w:szCs w:val="22"/>
        </w:rPr>
        <w:t xml:space="preserve"> se convierte en un factor ponderador de la importancia específica de cada </w:t>
      </w:r>
      <w:r w:rsidR="00675C2E" w:rsidRPr="00B3795E">
        <w:rPr>
          <w:rFonts w:ascii="Arial" w:hAnsi="Arial" w:cs="Arial"/>
          <w:sz w:val="22"/>
          <w:szCs w:val="22"/>
        </w:rPr>
        <w:t>una de ellas</w:t>
      </w:r>
      <w:r w:rsidRPr="00B3795E">
        <w:rPr>
          <w:rFonts w:ascii="Arial" w:hAnsi="Arial" w:cs="Arial"/>
          <w:sz w:val="22"/>
          <w:szCs w:val="22"/>
        </w:rPr>
        <w:t>, dentro del plan de mejoramiento, y se atribuye un mayor peso a aquellas metas que tienen un plazo más extendido para su ejecución. Este elemento se debe tener en cuenta para el momento en que se calcule el nivel de avance del plan de mejoramiento.</w:t>
      </w:r>
    </w:p>
    <w:p w14:paraId="7041181A" w14:textId="77777777" w:rsidR="00634E68" w:rsidRPr="00B3795E" w:rsidRDefault="00634E68" w:rsidP="00634E68">
      <w:pPr>
        <w:jc w:val="both"/>
        <w:rPr>
          <w:rFonts w:ascii="Arial" w:hAnsi="Arial" w:cs="Arial"/>
          <w:sz w:val="22"/>
          <w:szCs w:val="22"/>
        </w:rPr>
      </w:pPr>
    </w:p>
    <w:p w14:paraId="5EAFD5FE" w14:textId="1A380B38" w:rsidR="00CF7FED" w:rsidRPr="00B3795E" w:rsidRDefault="00550402" w:rsidP="00C31601">
      <w:pPr>
        <w:jc w:val="both"/>
        <w:rPr>
          <w:rFonts w:ascii="Arial" w:hAnsi="Arial" w:cs="Arial"/>
          <w:sz w:val="22"/>
          <w:szCs w:val="22"/>
        </w:rPr>
      </w:pPr>
      <w:r w:rsidRPr="00B3795E">
        <w:rPr>
          <w:rFonts w:ascii="Arial" w:hAnsi="Arial" w:cs="Arial"/>
          <w:sz w:val="22"/>
          <w:szCs w:val="22"/>
        </w:rPr>
        <w:lastRenderedPageBreak/>
        <w:t>D</w:t>
      </w:r>
      <w:r w:rsidR="00F747FA" w:rsidRPr="00B3795E">
        <w:rPr>
          <w:rFonts w:ascii="Arial" w:hAnsi="Arial" w:cs="Arial"/>
          <w:sz w:val="22"/>
          <w:szCs w:val="22"/>
        </w:rPr>
        <w:t>espués de la evaluación de seguimiento</w:t>
      </w:r>
      <w:r w:rsidRPr="00B3795E">
        <w:rPr>
          <w:rFonts w:ascii="Arial" w:hAnsi="Arial" w:cs="Arial"/>
          <w:sz w:val="22"/>
          <w:szCs w:val="22"/>
        </w:rPr>
        <w:t xml:space="preserve"> con corte 3</w:t>
      </w:r>
      <w:r w:rsidR="005807DC">
        <w:rPr>
          <w:rFonts w:ascii="Arial" w:hAnsi="Arial" w:cs="Arial"/>
          <w:sz w:val="22"/>
          <w:szCs w:val="22"/>
        </w:rPr>
        <w:t>0</w:t>
      </w:r>
      <w:r w:rsidRPr="00B3795E">
        <w:rPr>
          <w:rFonts w:ascii="Arial" w:hAnsi="Arial" w:cs="Arial"/>
          <w:sz w:val="22"/>
          <w:szCs w:val="22"/>
        </w:rPr>
        <w:t xml:space="preserve"> de </w:t>
      </w:r>
      <w:r w:rsidR="005807DC">
        <w:rPr>
          <w:rFonts w:ascii="Arial" w:hAnsi="Arial" w:cs="Arial"/>
          <w:sz w:val="22"/>
          <w:szCs w:val="22"/>
        </w:rPr>
        <w:t xml:space="preserve">junio </w:t>
      </w:r>
      <w:r w:rsidRPr="00B3795E">
        <w:rPr>
          <w:rFonts w:ascii="Arial" w:hAnsi="Arial" w:cs="Arial"/>
          <w:sz w:val="22"/>
          <w:szCs w:val="22"/>
        </w:rPr>
        <w:t>de 202</w:t>
      </w:r>
      <w:r w:rsidR="005807DC">
        <w:rPr>
          <w:rFonts w:ascii="Arial" w:hAnsi="Arial" w:cs="Arial"/>
          <w:sz w:val="22"/>
          <w:szCs w:val="22"/>
        </w:rPr>
        <w:t>2</w:t>
      </w:r>
      <w:r w:rsidR="00782371">
        <w:rPr>
          <w:rFonts w:ascii="Arial" w:hAnsi="Arial" w:cs="Arial"/>
          <w:sz w:val="22"/>
          <w:szCs w:val="22"/>
        </w:rPr>
        <w:t xml:space="preserve">, </w:t>
      </w:r>
      <w:r w:rsidR="0059431E">
        <w:rPr>
          <w:rFonts w:ascii="Arial" w:hAnsi="Arial" w:cs="Arial"/>
          <w:sz w:val="22"/>
          <w:szCs w:val="22"/>
        </w:rPr>
        <w:t xml:space="preserve">el plan de mejoramiento </w:t>
      </w:r>
      <w:r w:rsidRPr="00B3795E">
        <w:rPr>
          <w:rFonts w:ascii="Arial" w:hAnsi="Arial" w:cs="Arial"/>
          <w:sz w:val="22"/>
          <w:szCs w:val="22"/>
        </w:rPr>
        <w:t>presenta</w:t>
      </w:r>
      <w:r w:rsidR="00F747FA" w:rsidRPr="00B3795E">
        <w:rPr>
          <w:rFonts w:ascii="Arial" w:hAnsi="Arial" w:cs="Arial"/>
          <w:sz w:val="22"/>
          <w:szCs w:val="22"/>
        </w:rPr>
        <w:t xml:space="preserve"> un nivel de avance del </w:t>
      </w:r>
      <w:r w:rsidR="00782371">
        <w:rPr>
          <w:rFonts w:ascii="Arial" w:hAnsi="Arial" w:cs="Arial"/>
          <w:sz w:val="22"/>
          <w:szCs w:val="22"/>
        </w:rPr>
        <w:t>96.53</w:t>
      </w:r>
      <w:r w:rsidR="00F747FA" w:rsidRPr="00B3795E">
        <w:rPr>
          <w:rFonts w:ascii="Arial" w:hAnsi="Arial" w:cs="Arial"/>
          <w:sz w:val="22"/>
          <w:szCs w:val="22"/>
        </w:rPr>
        <w:t xml:space="preserve">% y un nivel de cumplimiento del </w:t>
      </w:r>
      <w:r w:rsidR="00782371">
        <w:rPr>
          <w:rFonts w:ascii="Arial" w:hAnsi="Arial" w:cs="Arial"/>
          <w:sz w:val="22"/>
          <w:szCs w:val="22"/>
        </w:rPr>
        <w:t>97.88</w:t>
      </w:r>
      <w:r w:rsidR="00F747FA" w:rsidRPr="00B3795E">
        <w:rPr>
          <w:rFonts w:ascii="Arial" w:hAnsi="Arial" w:cs="Arial"/>
          <w:sz w:val="22"/>
          <w:szCs w:val="22"/>
        </w:rPr>
        <w:t>%.</w:t>
      </w:r>
      <w:r w:rsidR="002D1D19" w:rsidRPr="00B3795E">
        <w:rPr>
          <w:rFonts w:ascii="Arial" w:hAnsi="Arial" w:cs="Arial"/>
          <w:sz w:val="22"/>
          <w:szCs w:val="22"/>
        </w:rPr>
        <w:t xml:space="preserve"> </w:t>
      </w:r>
      <w:r w:rsidR="00276954" w:rsidRPr="00B3795E">
        <w:rPr>
          <w:rFonts w:ascii="Arial" w:hAnsi="Arial" w:cs="Arial"/>
          <w:sz w:val="22"/>
          <w:szCs w:val="22"/>
        </w:rPr>
        <w:t xml:space="preserve">El comportamiento por </w:t>
      </w:r>
      <w:r w:rsidR="004F435E" w:rsidRPr="00B3795E">
        <w:rPr>
          <w:rFonts w:ascii="Arial" w:hAnsi="Arial" w:cs="Arial"/>
          <w:sz w:val="22"/>
          <w:szCs w:val="22"/>
        </w:rPr>
        <w:t xml:space="preserve">Dependencia responsable y </w:t>
      </w:r>
      <w:r w:rsidR="00276954" w:rsidRPr="00B3795E">
        <w:rPr>
          <w:rFonts w:ascii="Arial" w:hAnsi="Arial" w:cs="Arial"/>
          <w:color w:val="000000" w:themeColor="text1"/>
          <w:sz w:val="22"/>
          <w:szCs w:val="22"/>
        </w:rPr>
        <w:t xml:space="preserve">vigencia </w:t>
      </w:r>
      <w:r w:rsidR="006D2EFC" w:rsidRPr="00B3795E">
        <w:rPr>
          <w:rFonts w:ascii="Arial" w:hAnsi="Arial" w:cs="Arial"/>
          <w:color w:val="000000" w:themeColor="text1"/>
          <w:sz w:val="22"/>
          <w:szCs w:val="22"/>
        </w:rPr>
        <w:t xml:space="preserve">fue </w:t>
      </w:r>
      <w:r w:rsidR="00276954" w:rsidRPr="00B3795E">
        <w:rPr>
          <w:rFonts w:ascii="Arial" w:hAnsi="Arial" w:cs="Arial"/>
          <w:color w:val="000000" w:themeColor="text1"/>
          <w:sz w:val="22"/>
          <w:szCs w:val="22"/>
        </w:rPr>
        <w:t xml:space="preserve">el </w:t>
      </w:r>
      <w:r w:rsidR="00276954" w:rsidRPr="00B3795E">
        <w:rPr>
          <w:rFonts w:ascii="Arial" w:hAnsi="Arial" w:cs="Arial"/>
          <w:sz w:val="22"/>
          <w:szCs w:val="22"/>
        </w:rPr>
        <w:t>siguiente:</w:t>
      </w:r>
    </w:p>
    <w:p w14:paraId="33ADBE41" w14:textId="77777777" w:rsidR="0059431E" w:rsidRPr="00B3795E" w:rsidRDefault="0059431E" w:rsidP="00C75684">
      <w:pPr>
        <w:contextualSpacing/>
        <w:jc w:val="both"/>
        <w:rPr>
          <w:rFonts w:ascii="Arial" w:hAnsi="Arial" w:cs="Arial"/>
          <w:bCs/>
          <w:iCs/>
          <w:sz w:val="22"/>
          <w:szCs w:val="22"/>
        </w:rPr>
      </w:pPr>
    </w:p>
    <w:p w14:paraId="2A5560E4" w14:textId="6DC8F03A" w:rsidR="00A570A1" w:rsidRPr="009A7379" w:rsidRDefault="009A7379" w:rsidP="004F435E">
      <w:pPr>
        <w:contextualSpacing/>
        <w:jc w:val="center"/>
        <w:rPr>
          <w:rFonts w:ascii="Arial" w:hAnsi="Arial" w:cs="Arial"/>
          <w:b/>
          <w:bCs/>
          <w:i/>
          <w:iCs/>
          <w:sz w:val="20"/>
          <w:szCs w:val="22"/>
        </w:rPr>
      </w:pPr>
      <w:r w:rsidRPr="00A301D0">
        <w:rPr>
          <w:rFonts w:ascii="Arial" w:hAnsi="Arial" w:cs="Arial"/>
          <w:b/>
          <w:bCs/>
          <w:i/>
          <w:iCs/>
          <w:sz w:val="20"/>
          <w:szCs w:val="22"/>
        </w:rPr>
        <w:t>TABLA N°. 3. RESULTADO POR VIGENCIA Y RESPONSABLE</w:t>
      </w:r>
    </w:p>
    <w:p w14:paraId="4FB3AA5B" w14:textId="77777777" w:rsidR="00DD144B" w:rsidRPr="00DD144B" w:rsidRDefault="00DD144B" w:rsidP="004F435E">
      <w:pPr>
        <w:contextualSpacing/>
        <w:jc w:val="center"/>
        <w:rPr>
          <w:rFonts w:ascii="Arial" w:hAnsi="Arial" w:cs="Arial"/>
          <w:b/>
          <w:bCs/>
          <w:i/>
          <w:iCs/>
          <w:sz w:val="18"/>
          <w:szCs w:val="22"/>
        </w:rPr>
      </w:pP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60" w:firstRow="1" w:lastRow="1" w:firstColumn="0" w:lastColumn="0" w:noHBand="0" w:noVBand="1"/>
      </w:tblPr>
      <w:tblGrid>
        <w:gridCol w:w="4195"/>
        <w:gridCol w:w="569"/>
        <w:gridCol w:w="607"/>
        <w:gridCol w:w="607"/>
        <w:gridCol w:w="680"/>
        <w:gridCol w:w="825"/>
        <w:gridCol w:w="8"/>
      </w:tblGrid>
      <w:tr w:rsidR="001E3994" w:rsidRPr="009E31A5" w14:paraId="4C4CE04B" w14:textId="77777777" w:rsidTr="00DD144B">
        <w:trPr>
          <w:gridAfter w:val="1"/>
          <w:wAfter w:w="8" w:type="dxa"/>
          <w:trHeight w:val="227"/>
          <w:tblHeader/>
          <w:jc w:val="center"/>
        </w:trPr>
        <w:tc>
          <w:tcPr>
            <w:tcW w:w="4195" w:type="dxa"/>
            <w:tcBorders>
              <w:top w:val="single" w:sz="4" w:space="0" w:color="4472C4"/>
              <w:left w:val="single" w:sz="4" w:space="0" w:color="4472C4"/>
              <w:bottom w:val="single" w:sz="4" w:space="0" w:color="FFFFFF" w:themeColor="background1"/>
              <w:right w:val="single" w:sz="4" w:space="0" w:color="FFFFFF" w:themeColor="background1"/>
            </w:tcBorders>
            <w:shd w:val="clear" w:color="auto" w:fill="4472C4"/>
            <w:noWrap/>
            <w:vAlign w:val="center"/>
          </w:tcPr>
          <w:p w14:paraId="11BD3AE6" w14:textId="5368D0F6" w:rsidR="001E3994" w:rsidRPr="00DD144B" w:rsidRDefault="001E3994" w:rsidP="00DD144B">
            <w:pPr>
              <w:jc w:val="center"/>
              <w:rPr>
                <w:rFonts w:ascii="Arial" w:hAnsi="Arial" w:cs="Arial"/>
                <w:b/>
                <w:bCs/>
                <w:color w:val="FFFFFF"/>
                <w:sz w:val="18"/>
                <w:szCs w:val="14"/>
                <w:lang w:eastAsia="es-CO"/>
              </w:rPr>
            </w:pPr>
            <w:r w:rsidRPr="00DD144B">
              <w:rPr>
                <w:rFonts w:ascii="Arial" w:hAnsi="Arial" w:cs="Arial"/>
                <w:b/>
                <w:bCs/>
                <w:color w:val="FFFFFF"/>
                <w:sz w:val="18"/>
                <w:szCs w:val="14"/>
                <w:lang w:eastAsia="es-CO"/>
              </w:rPr>
              <w:t>AREA RESPONSABLE</w:t>
            </w:r>
          </w:p>
        </w:tc>
        <w:tc>
          <w:tcPr>
            <w:tcW w:w="3288" w:type="dxa"/>
            <w:gridSpan w:val="5"/>
            <w:tcBorders>
              <w:top w:val="single" w:sz="4" w:space="0" w:color="4472C4"/>
              <w:left w:val="single" w:sz="4" w:space="0" w:color="FFFFFF" w:themeColor="background1"/>
              <w:bottom w:val="single" w:sz="4" w:space="0" w:color="FFFFFF" w:themeColor="background1"/>
              <w:right w:val="nil"/>
            </w:tcBorders>
            <w:shd w:val="clear" w:color="auto" w:fill="4472C4"/>
          </w:tcPr>
          <w:p w14:paraId="53F3D55B" w14:textId="1F3628C7" w:rsidR="001E3994" w:rsidRPr="00DD144B" w:rsidRDefault="002D7FA3" w:rsidP="00DD144B">
            <w:pPr>
              <w:jc w:val="center"/>
              <w:rPr>
                <w:rFonts w:ascii="Arial" w:hAnsi="Arial" w:cs="Arial"/>
                <w:b/>
                <w:bCs/>
                <w:color w:val="FFFFFF"/>
                <w:sz w:val="18"/>
                <w:szCs w:val="14"/>
                <w:lang w:eastAsia="es-CO"/>
              </w:rPr>
            </w:pPr>
            <w:r w:rsidRPr="00DD144B">
              <w:rPr>
                <w:rFonts w:ascii="Arial" w:hAnsi="Arial" w:cs="Arial"/>
                <w:b/>
                <w:bCs/>
                <w:color w:val="FFFFFF"/>
                <w:sz w:val="18"/>
                <w:szCs w:val="14"/>
                <w:lang w:eastAsia="es-CO"/>
              </w:rPr>
              <w:t>AUDITORÍA FINANCIERA 2021</w:t>
            </w:r>
          </w:p>
        </w:tc>
      </w:tr>
      <w:tr w:rsidR="001E3994" w:rsidRPr="009E31A5" w14:paraId="3B27AF14" w14:textId="77777777" w:rsidTr="00DD144B">
        <w:trPr>
          <w:trHeight w:val="227"/>
          <w:tblHeader/>
          <w:jc w:val="center"/>
        </w:trPr>
        <w:tc>
          <w:tcPr>
            <w:tcW w:w="4195" w:type="dxa"/>
            <w:tcBorders>
              <w:top w:val="single" w:sz="4" w:space="0" w:color="FFFFFF" w:themeColor="background1"/>
              <w:left w:val="single" w:sz="4" w:space="0" w:color="4472C4"/>
              <w:bottom w:val="single" w:sz="4" w:space="0" w:color="4472C4"/>
              <w:right w:val="single" w:sz="4" w:space="0" w:color="FFFFFF" w:themeColor="background1"/>
            </w:tcBorders>
            <w:shd w:val="clear" w:color="auto" w:fill="4472C4"/>
            <w:noWrap/>
            <w:vAlign w:val="center"/>
          </w:tcPr>
          <w:p w14:paraId="2CC035BE" w14:textId="635DB3DA" w:rsidR="001E3994" w:rsidRPr="00DD144B" w:rsidRDefault="001E3994" w:rsidP="00DD144B">
            <w:pPr>
              <w:jc w:val="center"/>
              <w:rPr>
                <w:rFonts w:ascii="Arial" w:hAnsi="Arial" w:cs="Arial"/>
                <w:b/>
                <w:bCs/>
                <w:color w:val="FFFFFF"/>
                <w:sz w:val="18"/>
                <w:szCs w:val="14"/>
                <w:lang w:eastAsia="es-CO"/>
              </w:rPr>
            </w:pPr>
            <w:r w:rsidRPr="00DD144B">
              <w:rPr>
                <w:rFonts w:ascii="Arial" w:hAnsi="Arial" w:cs="Arial"/>
                <w:b/>
                <w:bCs/>
                <w:color w:val="FFFFFF"/>
                <w:sz w:val="18"/>
                <w:szCs w:val="14"/>
                <w:lang w:eastAsia="es-CO"/>
              </w:rPr>
              <w:t>AVANCE %</w:t>
            </w:r>
          </w:p>
        </w:tc>
        <w:tc>
          <w:tcPr>
            <w:tcW w:w="569" w:type="dxa"/>
            <w:tcBorders>
              <w:top w:val="single" w:sz="4" w:space="0" w:color="FFFFFF" w:themeColor="background1"/>
              <w:left w:val="single" w:sz="4" w:space="0" w:color="FFFFFF" w:themeColor="background1"/>
              <w:bottom w:val="single" w:sz="4" w:space="0" w:color="4472C4"/>
              <w:right w:val="single" w:sz="4" w:space="0" w:color="FFFFFF" w:themeColor="background1"/>
            </w:tcBorders>
            <w:shd w:val="clear" w:color="auto" w:fill="4472C4"/>
          </w:tcPr>
          <w:p w14:paraId="3D290526" w14:textId="4794130D" w:rsidR="001E3994" w:rsidRPr="00DD144B" w:rsidRDefault="001E3994" w:rsidP="00DD144B">
            <w:pPr>
              <w:jc w:val="center"/>
              <w:rPr>
                <w:rFonts w:ascii="Arial" w:hAnsi="Arial" w:cs="Arial"/>
                <w:b/>
                <w:bCs/>
                <w:color w:val="FFFFFF"/>
                <w:sz w:val="18"/>
                <w:szCs w:val="14"/>
                <w:lang w:eastAsia="es-CO"/>
              </w:rPr>
            </w:pPr>
            <w:r w:rsidRPr="00DD144B">
              <w:rPr>
                <w:rFonts w:ascii="Arial" w:hAnsi="Arial" w:cs="Arial"/>
                <w:b/>
                <w:bCs/>
                <w:color w:val="FFFFFF"/>
                <w:sz w:val="18"/>
                <w:szCs w:val="14"/>
                <w:lang w:eastAsia="es-CO"/>
              </w:rPr>
              <w:t>0%</w:t>
            </w:r>
          </w:p>
        </w:tc>
        <w:tc>
          <w:tcPr>
            <w:tcW w:w="607" w:type="dxa"/>
            <w:tcBorders>
              <w:top w:val="single" w:sz="4" w:space="0" w:color="FFFFFF" w:themeColor="background1"/>
              <w:left w:val="single" w:sz="4" w:space="0" w:color="FFFFFF" w:themeColor="background1"/>
              <w:bottom w:val="single" w:sz="4" w:space="0" w:color="4472C4"/>
              <w:right w:val="single" w:sz="4" w:space="0" w:color="FFFFFF" w:themeColor="background1"/>
            </w:tcBorders>
            <w:shd w:val="clear" w:color="auto" w:fill="4472C4"/>
          </w:tcPr>
          <w:p w14:paraId="66BFDA72" w14:textId="69A1BFBB" w:rsidR="001E3994" w:rsidRPr="00DD144B" w:rsidRDefault="001E3994" w:rsidP="00DD144B">
            <w:pPr>
              <w:jc w:val="center"/>
              <w:rPr>
                <w:rFonts w:ascii="Arial" w:hAnsi="Arial" w:cs="Arial"/>
                <w:b/>
                <w:bCs/>
                <w:color w:val="FFFFFF"/>
                <w:sz w:val="18"/>
                <w:szCs w:val="14"/>
                <w:lang w:eastAsia="es-CO"/>
              </w:rPr>
            </w:pPr>
            <w:r w:rsidRPr="00DD144B">
              <w:rPr>
                <w:rFonts w:ascii="Arial" w:hAnsi="Arial" w:cs="Arial"/>
                <w:b/>
                <w:bCs/>
                <w:color w:val="FFFFFF"/>
                <w:sz w:val="18"/>
                <w:szCs w:val="14"/>
                <w:lang w:eastAsia="es-CO"/>
              </w:rPr>
              <w:t>50%</w:t>
            </w:r>
          </w:p>
        </w:tc>
        <w:tc>
          <w:tcPr>
            <w:tcW w:w="607" w:type="dxa"/>
            <w:tcBorders>
              <w:top w:val="single" w:sz="4" w:space="0" w:color="FFFFFF" w:themeColor="background1"/>
              <w:left w:val="single" w:sz="4" w:space="0" w:color="FFFFFF" w:themeColor="background1"/>
              <w:bottom w:val="single" w:sz="4" w:space="0" w:color="4472C4"/>
              <w:right w:val="single" w:sz="4" w:space="0" w:color="FFFFFF" w:themeColor="background1"/>
            </w:tcBorders>
            <w:shd w:val="clear" w:color="auto" w:fill="4472C4"/>
          </w:tcPr>
          <w:p w14:paraId="1743C884" w14:textId="4A10CC64" w:rsidR="001E3994" w:rsidRPr="00DD144B" w:rsidRDefault="001E3994" w:rsidP="00DD144B">
            <w:pPr>
              <w:jc w:val="center"/>
              <w:rPr>
                <w:rFonts w:ascii="Arial" w:hAnsi="Arial" w:cs="Arial"/>
                <w:b/>
                <w:bCs/>
                <w:color w:val="FFFFFF"/>
                <w:sz w:val="18"/>
                <w:szCs w:val="14"/>
                <w:lang w:eastAsia="es-CO"/>
              </w:rPr>
            </w:pPr>
            <w:r w:rsidRPr="00DD144B">
              <w:rPr>
                <w:rFonts w:ascii="Arial" w:hAnsi="Arial" w:cs="Arial"/>
                <w:b/>
                <w:bCs/>
                <w:color w:val="FFFFFF"/>
                <w:sz w:val="18"/>
                <w:szCs w:val="14"/>
                <w:lang w:eastAsia="es-CO"/>
              </w:rPr>
              <w:t>83%</w:t>
            </w:r>
          </w:p>
        </w:tc>
        <w:tc>
          <w:tcPr>
            <w:tcW w:w="680" w:type="dxa"/>
            <w:tcBorders>
              <w:top w:val="single" w:sz="4" w:space="0" w:color="FFFFFF" w:themeColor="background1"/>
              <w:left w:val="single" w:sz="4" w:space="0" w:color="FFFFFF" w:themeColor="background1"/>
              <w:bottom w:val="single" w:sz="4" w:space="0" w:color="4472C4"/>
              <w:right w:val="single" w:sz="4" w:space="0" w:color="FFFFFF" w:themeColor="background1"/>
            </w:tcBorders>
            <w:shd w:val="clear" w:color="auto" w:fill="4472C4"/>
          </w:tcPr>
          <w:p w14:paraId="66DAD53C" w14:textId="0EC16242" w:rsidR="001E3994" w:rsidRPr="00DD144B" w:rsidRDefault="001E3994" w:rsidP="00DD144B">
            <w:pPr>
              <w:jc w:val="center"/>
              <w:rPr>
                <w:rFonts w:ascii="Arial" w:hAnsi="Arial" w:cs="Arial"/>
                <w:b/>
                <w:bCs/>
                <w:color w:val="FFFFFF"/>
                <w:sz w:val="18"/>
                <w:szCs w:val="14"/>
                <w:lang w:eastAsia="es-CO"/>
              </w:rPr>
            </w:pPr>
            <w:r w:rsidRPr="00DD144B">
              <w:rPr>
                <w:rFonts w:ascii="Arial" w:hAnsi="Arial" w:cs="Arial"/>
                <w:b/>
                <w:bCs/>
                <w:color w:val="FFFFFF"/>
                <w:sz w:val="18"/>
                <w:szCs w:val="14"/>
                <w:lang w:eastAsia="es-CO"/>
              </w:rPr>
              <w:t>100%</w:t>
            </w:r>
          </w:p>
        </w:tc>
        <w:tc>
          <w:tcPr>
            <w:tcW w:w="833" w:type="dxa"/>
            <w:gridSpan w:val="2"/>
            <w:tcBorders>
              <w:top w:val="single" w:sz="4" w:space="0" w:color="FFFFFF" w:themeColor="background1"/>
              <w:left w:val="single" w:sz="4" w:space="0" w:color="FFFFFF" w:themeColor="background1"/>
              <w:bottom w:val="single" w:sz="4" w:space="0" w:color="4472C4"/>
              <w:right w:val="nil"/>
            </w:tcBorders>
            <w:shd w:val="clear" w:color="auto" w:fill="4472C4"/>
          </w:tcPr>
          <w:p w14:paraId="69B76196" w14:textId="74382603" w:rsidR="001E3994" w:rsidRPr="00DD144B" w:rsidRDefault="002D7FA3" w:rsidP="00DD144B">
            <w:pPr>
              <w:jc w:val="center"/>
              <w:rPr>
                <w:rFonts w:ascii="Arial" w:hAnsi="Arial" w:cs="Arial"/>
                <w:b/>
                <w:bCs/>
                <w:color w:val="FFFFFF"/>
                <w:sz w:val="18"/>
                <w:szCs w:val="14"/>
                <w:lang w:eastAsia="es-CO"/>
              </w:rPr>
            </w:pPr>
            <w:r w:rsidRPr="00DD144B">
              <w:rPr>
                <w:rFonts w:ascii="Arial" w:hAnsi="Arial" w:cs="Arial"/>
                <w:b/>
                <w:bCs/>
                <w:color w:val="FFFFFF"/>
                <w:sz w:val="18"/>
                <w:szCs w:val="14"/>
                <w:lang w:eastAsia="es-CO"/>
              </w:rPr>
              <w:t>TOTAL</w:t>
            </w:r>
          </w:p>
        </w:tc>
      </w:tr>
      <w:tr w:rsidR="001E3994" w:rsidRPr="009E31A5" w14:paraId="07814953" w14:textId="77777777" w:rsidTr="006B0D63">
        <w:trPr>
          <w:trHeight w:val="340"/>
          <w:jc w:val="center"/>
        </w:trPr>
        <w:tc>
          <w:tcPr>
            <w:tcW w:w="4195" w:type="dxa"/>
            <w:shd w:val="clear" w:color="auto" w:fill="auto"/>
            <w:noWrap/>
            <w:vAlign w:val="center"/>
          </w:tcPr>
          <w:p w14:paraId="153FAB85" w14:textId="77777777" w:rsidR="001E3994" w:rsidRPr="00DD144B" w:rsidRDefault="001E3994" w:rsidP="00DD144B">
            <w:pPr>
              <w:rPr>
                <w:rFonts w:ascii="Arial" w:hAnsi="Arial" w:cs="Arial"/>
                <w:sz w:val="18"/>
                <w:szCs w:val="14"/>
                <w:lang w:eastAsia="es-CO"/>
              </w:rPr>
            </w:pPr>
            <w:r w:rsidRPr="00DD144B">
              <w:rPr>
                <w:rFonts w:ascii="Arial" w:hAnsi="Arial" w:cs="Arial"/>
                <w:sz w:val="18"/>
                <w:szCs w:val="14"/>
                <w:lang w:eastAsia="es-CO"/>
              </w:rPr>
              <w:t>SUBDIRECCIÓN DE GESTION CONTRACTUAL</w:t>
            </w:r>
          </w:p>
        </w:tc>
        <w:tc>
          <w:tcPr>
            <w:tcW w:w="569" w:type="dxa"/>
            <w:vAlign w:val="center"/>
          </w:tcPr>
          <w:p w14:paraId="7838E3AE" w14:textId="2BB0E84D"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607" w:type="dxa"/>
            <w:vAlign w:val="center"/>
          </w:tcPr>
          <w:p w14:paraId="6CA3BA2A" w14:textId="76181E2E"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607" w:type="dxa"/>
            <w:vAlign w:val="center"/>
          </w:tcPr>
          <w:p w14:paraId="546CDB2A" w14:textId="56673CD0"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1</w:t>
            </w:r>
          </w:p>
        </w:tc>
        <w:tc>
          <w:tcPr>
            <w:tcW w:w="680" w:type="dxa"/>
            <w:vAlign w:val="center"/>
          </w:tcPr>
          <w:p w14:paraId="32F36237" w14:textId="0D46CCF6"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833" w:type="dxa"/>
            <w:gridSpan w:val="2"/>
            <w:vAlign w:val="center"/>
          </w:tcPr>
          <w:p w14:paraId="398391E8" w14:textId="5194CCC2"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1</w:t>
            </w:r>
          </w:p>
        </w:tc>
      </w:tr>
      <w:tr w:rsidR="001E3994" w:rsidRPr="009E31A5" w14:paraId="25A58A92" w14:textId="77777777" w:rsidTr="006B0D63">
        <w:trPr>
          <w:trHeight w:val="340"/>
          <w:jc w:val="center"/>
        </w:trPr>
        <w:tc>
          <w:tcPr>
            <w:tcW w:w="4195" w:type="dxa"/>
            <w:shd w:val="clear" w:color="auto" w:fill="auto"/>
            <w:noWrap/>
            <w:vAlign w:val="center"/>
          </w:tcPr>
          <w:p w14:paraId="05E6B90B" w14:textId="77777777" w:rsidR="001E3994" w:rsidRPr="00DD144B" w:rsidRDefault="001E3994" w:rsidP="00DD144B">
            <w:pPr>
              <w:rPr>
                <w:rFonts w:ascii="Arial" w:hAnsi="Arial" w:cs="Arial"/>
                <w:sz w:val="18"/>
                <w:szCs w:val="14"/>
                <w:lang w:eastAsia="es-CO"/>
              </w:rPr>
            </w:pPr>
            <w:r w:rsidRPr="00DD144B">
              <w:rPr>
                <w:rFonts w:ascii="Arial" w:hAnsi="Arial" w:cs="Arial"/>
                <w:sz w:val="18"/>
                <w:szCs w:val="14"/>
                <w:lang w:eastAsia="es-CO"/>
              </w:rPr>
              <w:t>SUBDIRECCIÓN DE BIENES</w:t>
            </w:r>
          </w:p>
        </w:tc>
        <w:tc>
          <w:tcPr>
            <w:tcW w:w="569" w:type="dxa"/>
            <w:vAlign w:val="center"/>
          </w:tcPr>
          <w:p w14:paraId="0267EB28" w14:textId="094A680F"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1</w:t>
            </w:r>
          </w:p>
        </w:tc>
        <w:tc>
          <w:tcPr>
            <w:tcW w:w="607" w:type="dxa"/>
            <w:vAlign w:val="center"/>
          </w:tcPr>
          <w:p w14:paraId="3CFFF935" w14:textId="0686ACD8"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2</w:t>
            </w:r>
          </w:p>
        </w:tc>
        <w:tc>
          <w:tcPr>
            <w:tcW w:w="607" w:type="dxa"/>
            <w:vAlign w:val="center"/>
          </w:tcPr>
          <w:p w14:paraId="53E0BDCE" w14:textId="572D97BF"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680" w:type="dxa"/>
            <w:vAlign w:val="center"/>
          </w:tcPr>
          <w:p w14:paraId="5FA38EA0" w14:textId="0EED06AA"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4</w:t>
            </w:r>
          </w:p>
        </w:tc>
        <w:tc>
          <w:tcPr>
            <w:tcW w:w="833" w:type="dxa"/>
            <w:gridSpan w:val="2"/>
            <w:vAlign w:val="center"/>
          </w:tcPr>
          <w:p w14:paraId="67B4FEF2" w14:textId="578CFBAF"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7</w:t>
            </w:r>
          </w:p>
        </w:tc>
      </w:tr>
      <w:tr w:rsidR="001E3994" w:rsidRPr="009E31A5" w14:paraId="7660C7A7" w14:textId="77777777" w:rsidTr="006B0D63">
        <w:trPr>
          <w:trHeight w:val="340"/>
          <w:jc w:val="center"/>
        </w:trPr>
        <w:tc>
          <w:tcPr>
            <w:tcW w:w="4195" w:type="dxa"/>
            <w:shd w:val="clear" w:color="auto" w:fill="auto"/>
            <w:noWrap/>
            <w:vAlign w:val="center"/>
          </w:tcPr>
          <w:p w14:paraId="3F6440F9" w14:textId="77777777" w:rsidR="001E3994" w:rsidRPr="00DD144B" w:rsidRDefault="001E3994" w:rsidP="00DD144B">
            <w:pPr>
              <w:rPr>
                <w:rFonts w:ascii="Arial" w:hAnsi="Arial" w:cs="Arial"/>
                <w:sz w:val="18"/>
                <w:szCs w:val="14"/>
                <w:lang w:eastAsia="es-CO"/>
              </w:rPr>
            </w:pPr>
            <w:r w:rsidRPr="00DD144B">
              <w:rPr>
                <w:rFonts w:ascii="Arial" w:hAnsi="Arial" w:cs="Arial"/>
                <w:sz w:val="18"/>
                <w:szCs w:val="14"/>
                <w:lang w:eastAsia="es-CO"/>
              </w:rPr>
              <w:t>SUBDIRECCIÓN DE TICS</w:t>
            </w:r>
          </w:p>
        </w:tc>
        <w:tc>
          <w:tcPr>
            <w:tcW w:w="569" w:type="dxa"/>
            <w:vAlign w:val="center"/>
          </w:tcPr>
          <w:p w14:paraId="55D65789" w14:textId="0AB84C29"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607" w:type="dxa"/>
            <w:vAlign w:val="center"/>
          </w:tcPr>
          <w:p w14:paraId="12954D0C" w14:textId="4F207BB3"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607" w:type="dxa"/>
            <w:vAlign w:val="center"/>
          </w:tcPr>
          <w:p w14:paraId="38F28071" w14:textId="0B236D68"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680" w:type="dxa"/>
            <w:vAlign w:val="center"/>
          </w:tcPr>
          <w:p w14:paraId="5267F88A" w14:textId="4DC928BD"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3</w:t>
            </w:r>
          </w:p>
        </w:tc>
        <w:tc>
          <w:tcPr>
            <w:tcW w:w="833" w:type="dxa"/>
            <w:gridSpan w:val="2"/>
            <w:vAlign w:val="center"/>
          </w:tcPr>
          <w:p w14:paraId="1AE8F737" w14:textId="392CA750"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3</w:t>
            </w:r>
          </w:p>
        </w:tc>
      </w:tr>
      <w:tr w:rsidR="001E3994" w:rsidRPr="009E31A5" w14:paraId="3BDF1C41" w14:textId="77777777" w:rsidTr="006B0D63">
        <w:trPr>
          <w:trHeight w:val="340"/>
          <w:jc w:val="center"/>
        </w:trPr>
        <w:tc>
          <w:tcPr>
            <w:tcW w:w="4195" w:type="dxa"/>
            <w:shd w:val="clear" w:color="auto" w:fill="auto"/>
            <w:noWrap/>
            <w:vAlign w:val="center"/>
          </w:tcPr>
          <w:p w14:paraId="6BD50F52" w14:textId="77777777" w:rsidR="001E3994" w:rsidRPr="00DD144B" w:rsidRDefault="001E3994" w:rsidP="00DD144B">
            <w:pPr>
              <w:rPr>
                <w:rFonts w:ascii="Arial" w:hAnsi="Arial" w:cs="Arial"/>
                <w:sz w:val="18"/>
                <w:szCs w:val="14"/>
                <w:lang w:eastAsia="es-CO"/>
              </w:rPr>
            </w:pPr>
            <w:r w:rsidRPr="00DD144B">
              <w:rPr>
                <w:rFonts w:ascii="Arial" w:hAnsi="Arial" w:cs="Arial"/>
                <w:sz w:val="18"/>
                <w:szCs w:val="14"/>
                <w:lang w:eastAsia="es-CO"/>
              </w:rPr>
              <w:t>SUBDIRECCIÓN REGIONAL NORORIENTAL</w:t>
            </w:r>
          </w:p>
        </w:tc>
        <w:tc>
          <w:tcPr>
            <w:tcW w:w="569" w:type="dxa"/>
            <w:vAlign w:val="center"/>
          </w:tcPr>
          <w:p w14:paraId="6168E75E" w14:textId="77A18014"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1</w:t>
            </w:r>
          </w:p>
        </w:tc>
        <w:tc>
          <w:tcPr>
            <w:tcW w:w="607" w:type="dxa"/>
            <w:vAlign w:val="center"/>
          </w:tcPr>
          <w:p w14:paraId="598D11D9" w14:textId="71A3C6D0"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607" w:type="dxa"/>
            <w:vAlign w:val="center"/>
          </w:tcPr>
          <w:p w14:paraId="16A6F3D8" w14:textId="28F8B6BC"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680" w:type="dxa"/>
            <w:vAlign w:val="center"/>
          </w:tcPr>
          <w:p w14:paraId="4374FA7E" w14:textId="09BB8684"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w:t>
            </w:r>
          </w:p>
        </w:tc>
        <w:tc>
          <w:tcPr>
            <w:tcW w:w="833" w:type="dxa"/>
            <w:gridSpan w:val="2"/>
            <w:vAlign w:val="center"/>
          </w:tcPr>
          <w:p w14:paraId="1080E508" w14:textId="7A24242E" w:rsidR="001E3994" w:rsidRPr="00DD144B" w:rsidRDefault="001E3994" w:rsidP="006B0D63">
            <w:pPr>
              <w:jc w:val="center"/>
              <w:rPr>
                <w:rFonts w:ascii="Arial" w:hAnsi="Arial" w:cs="Arial"/>
                <w:sz w:val="18"/>
                <w:szCs w:val="14"/>
                <w:lang w:eastAsia="es-CO"/>
              </w:rPr>
            </w:pPr>
            <w:r w:rsidRPr="00DD144B">
              <w:rPr>
                <w:rFonts w:ascii="Arial" w:hAnsi="Arial" w:cs="Arial"/>
                <w:sz w:val="18"/>
                <w:szCs w:val="14"/>
                <w:lang w:eastAsia="es-CO"/>
              </w:rPr>
              <w:t>1</w:t>
            </w:r>
          </w:p>
        </w:tc>
      </w:tr>
      <w:tr w:rsidR="001E3994" w:rsidRPr="009E31A5" w14:paraId="4C691B01" w14:textId="77777777" w:rsidTr="006B0D63">
        <w:trPr>
          <w:trHeight w:val="340"/>
          <w:jc w:val="center"/>
        </w:trPr>
        <w:tc>
          <w:tcPr>
            <w:tcW w:w="4195" w:type="dxa"/>
            <w:tcBorders>
              <w:top w:val="double" w:sz="4" w:space="0" w:color="4472C4"/>
            </w:tcBorders>
            <w:shd w:val="clear" w:color="auto" w:fill="auto"/>
            <w:noWrap/>
            <w:vAlign w:val="center"/>
            <w:hideMark/>
          </w:tcPr>
          <w:p w14:paraId="794BB3DD" w14:textId="663E1E8E" w:rsidR="001E3994" w:rsidRPr="00DD144B" w:rsidRDefault="001E3994" w:rsidP="00DD144B">
            <w:pPr>
              <w:jc w:val="center"/>
              <w:rPr>
                <w:rFonts w:ascii="Arial" w:hAnsi="Arial" w:cs="Arial"/>
                <w:b/>
                <w:bCs/>
                <w:sz w:val="18"/>
                <w:szCs w:val="14"/>
                <w:lang w:eastAsia="es-CO"/>
              </w:rPr>
            </w:pPr>
            <w:r w:rsidRPr="00DD144B">
              <w:rPr>
                <w:rFonts w:ascii="Arial" w:hAnsi="Arial" w:cs="Arial"/>
                <w:b/>
                <w:bCs/>
                <w:sz w:val="18"/>
                <w:szCs w:val="14"/>
                <w:lang w:eastAsia="es-CO"/>
              </w:rPr>
              <w:t>TOTAL, METAS OBJETO DE SEGUIMIENTO</w:t>
            </w:r>
          </w:p>
        </w:tc>
        <w:tc>
          <w:tcPr>
            <w:tcW w:w="569" w:type="dxa"/>
            <w:tcBorders>
              <w:top w:val="double" w:sz="4" w:space="0" w:color="4472C4"/>
            </w:tcBorders>
            <w:vAlign w:val="center"/>
          </w:tcPr>
          <w:p w14:paraId="3FFB426F" w14:textId="78272CD0" w:rsidR="001E3994" w:rsidRPr="00DD144B" w:rsidRDefault="001E3994" w:rsidP="006B0D63">
            <w:pPr>
              <w:jc w:val="center"/>
              <w:rPr>
                <w:rFonts w:ascii="Arial" w:hAnsi="Arial" w:cs="Arial"/>
                <w:b/>
                <w:bCs/>
                <w:sz w:val="18"/>
                <w:szCs w:val="14"/>
                <w:lang w:eastAsia="es-CO"/>
              </w:rPr>
            </w:pPr>
            <w:r w:rsidRPr="00DD144B">
              <w:rPr>
                <w:rFonts w:ascii="Arial" w:hAnsi="Arial" w:cs="Arial"/>
                <w:b/>
                <w:bCs/>
                <w:sz w:val="18"/>
                <w:szCs w:val="14"/>
                <w:lang w:eastAsia="es-CO"/>
              </w:rPr>
              <w:t>2</w:t>
            </w:r>
          </w:p>
        </w:tc>
        <w:tc>
          <w:tcPr>
            <w:tcW w:w="607" w:type="dxa"/>
            <w:tcBorders>
              <w:top w:val="double" w:sz="4" w:space="0" w:color="4472C4"/>
            </w:tcBorders>
            <w:vAlign w:val="center"/>
          </w:tcPr>
          <w:p w14:paraId="5F12670C" w14:textId="7D9DA95C" w:rsidR="001E3994" w:rsidRPr="00DD144B" w:rsidRDefault="001E3994" w:rsidP="006B0D63">
            <w:pPr>
              <w:jc w:val="center"/>
              <w:rPr>
                <w:rFonts w:ascii="Arial" w:hAnsi="Arial" w:cs="Arial"/>
                <w:b/>
                <w:bCs/>
                <w:sz w:val="18"/>
                <w:szCs w:val="14"/>
                <w:lang w:eastAsia="es-CO"/>
              </w:rPr>
            </w:pPr>
            <w:r w:rsidRPr="00DD144B">
              <w:rPr>
                <w:rFonts w:ascii="Arial" w:hAnsi="Arial" w:cs="Arial"/>
                <w:b/>
                <w:bCs/>
                <w:sz w:val="18"/>
                <w:szCs w:val="14"/>
                <w:lang w:eastAsia="es-CO"/>
              </w:rPr>
              <w:t>2</w:t>
            </w:r>
          </w:p>
        </w:tc>
        <w:tc>
          <w:tcPr>
            <w:tcW w:w="607" w:type="dxa"/>
            <w:tcBorders>
              <w:top w:val="double" w:sz="4" w:space="0" w:color="4472C4"/>
            </w:tcBorders>
            <w:vAlign w:val="center"/>
          </w:tcPr>
          <w:p w14:paraId="04D99356" w14:textId="247733A5" w:rsidR="001E3994" w:rsidRPr="00DD144B" w:rsidRDefault="001E3994" w:rsidP="006B0D63">
            <w:pPr>
              <w:jc w:val="center"/>
              <w:rPr>
                <w:rFonts w:ascii="Arial" w:hAnsi="Arial" w:cs="Arial"/>
                <w:b/>
                <w:bCs/>
                <w:sz w:val="18"/>
                <w:szCs w:val="14"/>
                <w:lang w:eastAsia="es-CO"/>
              </w:rPr>
            </w:pPr>
            <w:r w:rsidRPr="00DD144B">
              <w:rPr>
                <w:rFonts w:ascii="Arial" w:hAnsi="Arial" w:cs="Arial"/>
                <w:b/>
                <w:bCs/>
                <w:sz w:val="18"/>
                <w:szCs w:val="14"/>
                <w:lang w:eastAsia="es-CO"/>
              </w:rPr>
              <w:t>1</w:t>
            </w:r>
          </w:p>
        </w:tc>
        <w:tc>
          <w:tcPr>
            <w:tcW w:w="680" w:type="dxa"/>
            <w:tcBorders>
              <w:top w:val="double" w:sz="4" w:space="0" w:color="4472C4"/>
            </w:tcBorders>
            <w:vAlign w:val="center"/>
          </w:tcPr>
          <w:p w14:paraId="074755A6" w14:textId="0C051949" w:rsidR="001E3994" w:rsidRPr="00DD144B" w:rsidRDefault="001E3994" w:rsidP="006B0D63">
            <w:pPr>
              <w:jc w:val="center"/>
              <w:rPr>
                <w:rFonts w:ascii="Arial" w:hAnsi="Arial" w:cs="Arial"/>
                <w:b/>
                <w:bCs/>
                <w:sz w:val="18"/>
                <w:szCs w:val="14"/>
                <w:lang w:eastAsia="es-CO"/>
              </w:rPr>
            </w:pPr>
            <w:r w:rsidRPr="00DD144B">
              <w:rPr>
                <w:rFonts w:ascii="Arial" w:hAnsi="Arial" w:cs="Arial"/>
                <w:b/>
                <w:bCs/>
                <w:sz w:val="18"/>
                <w:szCs w:val="14"/>
                <w:lang w:eastAsia="es-CO"/>
              </w:rPr>
              <w:t>7</w:t>
            </w:r>
          </w:p>
        </w:tc>
        <w:tc>
          <w:tcPr>
            <w:tcW w:w="833" w:type="dxa"/>
            <w:gridSpan w:val="2"/>
            <w:tcBorders>
              <w:top w:val="double" w:sz="4" w:space="0" w:color="4472C4"/>
            </w:tcBorders>
            <w:vAlign w:val="center"/>
          </w:tcPr>
          <w:p w14:paraId="25306395" w14:textId="6F265F8B" w:rsidR="001E3994" w:rsidRPr="00DD144B" w:rsidRDefault="001E3994" w:rsidP="006B0D63">
            <w:pPr>
              <w:jc w:val="center"/>
              <w:rPr>
                <w:rFonts w:ascii="Arial" w:hAnsi="Arial" w:cs="Arial"/>
                <w:b/>
                <w:bCs/>
                <w:sz w:val="18"/>
                <w:szCs w:val="14"/>
                <w:lang w:eastAsia="es-CO"/>
              </w:rPr>
            </w:pPr>
            <w:r w:rsidRPr="00DD144B">
              <w:rPr>
                <w:rFonts w:ascii="Arial" w:hAnsi="Arial" w:cs="Arial"/>
                <w:b/>
                <w:bCs/>
                <w:sz w:val="18"/>
                <w:szCs w:val="14"/>
                <w:lang w:eastAsia="es-CO"/>
              </w:rPr>
              <w:t>12</w:t>
            </w:r>
          </w:p>
        </w:tc>
      </w:tr>
    </w:tbl>
    <w:p w14:paraId="5A2B8C42" w14:textId="53B0A79A" w:rsidR="00A570A1" w:rsidRPr="009E31A5" w:rsidRDefault="00A570A1" w:rsidP="004F435E">
      <w:pPr>
        <w:contextualSpacing/>
        <w:jc w:val="center"/>
        <w:rPr>
          <w:rFonts w:ascii="Arial" w:hAnsi="Arial" w:cs="Arial"/>
          <w:b/>
          <w:bCs/>
          <w:i/>
          <w:iCs/>
          <w:sz w:val="22"/>
          <w:szCs w:val="22"/>
        </w:rPr>
      </w:pPr>
    </w:p>
    <w:p w14:paraId="7DEF668F" w14:textId="1AB15DC6" w:rsidR="00276954" w:rsidRPr="009E31A5" w:rsidRDefault="00CD5178" w:rsidP="00C31601">
      <w:pPr>
        <w:contextualSpacing/>
        <w:rPr>
          <w:rFonts w:ascii="Arial" w:hAnsi="Arial" w:cs="Arial"/>
          <w:sz w:val="22"/>
          <w:szCs w:val="22"/>
        </w:rPr>
      </w:pPr>
      <w:r w:rsidRPr="009E31A5">
        <w:rPr>
          <w:rFonts w:ascii="Arial" w:hAnsi="Arial" w:cs="Arial"/>
          <w:sz w:val="22"/>
          <w:szCs w:val="22"/>
        </w:rPr>
        <w:t>De conformidad al semáforo de calificación el resultado final es</w:t>
      </w:r>
      <w:r w:rsidRPr="009E31A5">
        <w:rPr>
          <w:rFonts w:ascii="Arial" w:hAnsi="Arial" w:cs="Arial"/>
          <w:b/>
          <w:bCs/>
          <w:sz w:val="22"/>
          <w:szCs w:val="22"/>
        </w:rPr>
        <w:t xml:space="preserve"> EXCELENTE</w:t>
      </w:r>
      <w:r w:rsidRPr="009E31A5">
        <w:rPr>
          <w:rFonts w:ascii="Arial" w:hAnsi="Arial" w:cs="Arial"/>
          <w:sz w:val="22"/>
          <w:szCs w:val="22"/>
        </w:rPr>
        <w:t>.</w:t>
      </w:r>
    </w:p>
    <w:p w14:paraId="24E1307A" w14:textId="77777777" w:rsidR="0059431E" w:rsidRPr="009E31A5" w:rsidRDefault="0059431E" w:rsidP="00C31601">
      <w:pPr>
        <w:contextualSpacing/>
        <w:rPr>
          <w:rFonts w:ascii="Arial" w:hAnsi="Arial" w:cs="Arial"/>
          <w:sz w:val="22"/>
          <w:szCs w:val="22"/>
        </w:rPr>
      </w:pPr>
    </w:p>
    <w:p w14:paraId="72137C67" w14:textId="73765AD4" w:rsidR="001206FD" w:rsidRPr="009E31A5" w:rsidRDefault="00CD5178" w:rsidP="00C31601">
      <w:pPr>
        <w:jc w:val="both"/>
        <w:rPr>
          <w:rFonts w:ascii="Arial" w:hAnsi="Arial" w:cs="Arial"/>
          <w:b/>
          <w:bCs/>
          <w:sz w:val="22"/>
          <w:szCs w:val="22"/>
        </w:rPr>
      </w:pPr>
      <w:r w:rsidRPr="009E31A5">
        <w:rPr>
          <w:rFonts w:ascii="Arial" w:hAnsi="Arial" w:cs="Arial"/>
          <w:b/>
          <w:bCs/>
          <w:sz w:val="22"/>
          <w:szCs w:val="22"/>
        </w:rPr>
        <w:t xml:space="preserve">5.1. </w:t>
      </w:r>
      <w:r w:rsidR="001206FD" w:rsidRPr="009E31A5">
        <w:rPr>
          <w:rFonts w:ascii="Arial" w:hAnsi="Arial" w:cs="Arial"/>
          <w:b/>
          <w:bCs/>
          <w:sz w:val="22"/>
          <w:szCs w:val="22"/>
        </w:rPr>
        <w:t>Metas cumplidas</w:t>
      </w:r>
    </w:p>
    <w:p w14:paraId="206A46F3" w14:textId="128503E5" w:rsidR="001206FD" w:rsidRPr="009E31A5" w:rsidRDefault="001206FD" w:rsidP="00C31601">
      <w:pPr>
        <w:jc w:val="both"/>
        <w:rPr>
          <w:rFonts w:ascii="Arial" w:hAnsi="Arial" w:cs="Arial"/>
          <w:b/>
          <w:bCs/>
          <w:sz w:val="22"/>
          <w:szCs w:val="22"/>
        </w:rPr>
      </w:pPr>
    </w:p>
    <w:p w14:paraId="13F33406" w14:textId="00AE2AE0" w:rsidR="001206FD" w:rsidRDefault="001206FD" w:rsidP="001206FD">
      <w:pPr>
        <w:jc w:val="both"/>
        <w:rPr>
          <w:rFonts w:ascii="Arial" w:hAnsi="Arial" w:cs="Arial"/>
          <w:bCs/>
          <w:sz w:val="22"/>
          <w:szCs w:val="22"/>
        </w:rPr>
      </w:pPr>
      <w:r w:rsidRPr="009E31A5">
        <w:rPr>
          <w:rFonts w:ascii="Arial" w:hAnsi="Arial" w:cs="Arial"/>
          <w:bCs/>
          <w:sz w:val="22"/>
          <w:szCs w:val="22"/>
        </w:rPr>
        <w:t>Con corte 3</w:t>
      </w:r>
      <w:r w:rsidR="001E3994">
        <w:rPr>
          <w:rFonts w:ascii="Arial" w:hAnsi="Arial" w:cs="Arial"/>
          <w:bCs/>
          <w:sz w:val="22"/>
          <w:szCs w:val="22"/>
        </w:rPr>
        <w:t>0</w:t>
      </w:r>
      <w:r w:rsidR="009636CB" w:rsidRPr="009E31A5">
        <w:rPr>
          <w:rFonts w:ascii="Arial" w:hAnsi="Arial" w:cs="Arial"/>
          <w:bCs/>
          <w:sz w:val="22"/>
          <w:szCs w:val="22"/>
        </w:rPr>
        <w:t xml:space="preserve"> </w:t>
      </w:r>
      <w:r w:rsidRPr="009E31A5">
        <w:rPr>
          <w:rFonts w:ascii="Arial" w:hAnsi="Arial" w:cs="Arial"/>
          <w:bCs/>
          <w:sz w:val="22"/>
          <w:szCs w:val="22"/>
        </w:rPr>
        <w:t xml:space="preserve">de </w:t>
      </w:r>
      <w:r w:rsidR="001E3994">
        <w:rPr>
          <w:rFonts w:ascii="Arial" w:hAnsi="Arial" w:cs="Arial"/>
          <w:bCs/>
          <w:sz w:val="22"/>
          <w:szCs w:val="22"/>
        </w:rPr>
        <w:t xml:space="preserve">junio </w:t>
      </w:r>
      <w:r w:rsidR="009636CB" w:rsidRPr="009E31A5">
        <w:rPr>
          <w:rFonts w:ascii="Arial" w:hAnsi="Arial" w:cs="Arial"/>
          <w:bCs/>
          <w:sz w:val="22"/>
          <w:szCs w:val="22"/>
        </w:rPr>
        <w:t xml:space="preserve">de </w:t>
      </w:r>
      <w:r w:rsidRPr="009E31A5">
        <w:rPr>
          <w:rFonts w:ascii="Arial" w:hAnsi="Arial" w:cs="Arial"/>
          <w:bCs/>
          <w:sz w:val="22"/>
          <w:szCs w:val="22"/>
        </w:rPr>
        <w:t>202</w:t>
      </w:r>
      <w:r w:rsidR="001E3994">
        <w:rPr>
          <w:rFonts w:ascii="Arial" w:hAnsi="Arial" w:cs="Arial"/>
          <w:bCs/>
          <w:sz w:val="22"/>
          <w:szCs w:val="22"/>
        </w:rPr>
        <w:t>3</w:t>
      </w:r>
      <w:r w:rsidRPr="009E31A5">
        <w:rPr>
          <w:rFonts w:ascii="Arial" w:hAnsi="Arial" w:cs="Arial"/>
          <w:bCs/>
          <w:sz w:val="22"/>
          <w:szCs w:val="22"/>
        </w:rPr>
        <w:t xml:space="preserve">, se evidenció el cumplimiento y avance del 100% de </w:t>
      </w:r>
      <w:r w:rsidR="001E3994">
        <w:rPr>
          <w:rFonts w:ascii="Arial" w:hAnsi="Arial" w:cs="Arial"/>
          <w:bCs/>
          <w:sz w:val="22"/>
          <w:szCs w:val="22"/>
        </w:rPr>
        <w:t>7</w:t>
      </w:r>
      <w:r w:rsidR="009636CB" w:rsidRPr="009E31A5">
        <w:rPr>
          <w:rFonts w:ascii="Arial" w:hAnsi="Arial" w:cs="Arial"/>
          <w:bCs/>
          <w:sz w:val="22"/>
          <w:szCs w:val="22"/>
        </w:rPr>
        <w:t xml:space="preserve"> </w:t>
      </w:r>
      <w:r w:rsidRPr="009E31A5">
        <w:rPr>
          <w:rFonts w:ascii="Arial" w:hAnsi="Arial" w:cs="Arial"/>
          <w:bCs/>
          <w:sz w:val="22"/>
          <w:szCs w:val="22"/>
        </w:rPr>
        <w:t>metas</w:t>
      </w:r>
      <w:r w:rsidR="005F3601" w:rsidRPr="009E31A5">
        <w:rPr>
          <w:rFonts w:ascii="Arial" w:hAnsi="Arial" w:cs="Arial"/>
          <w:bCs/>
          <w:sz w:val="22"/>
          <w:szCs w:val="22"/>
        </w:rPr>
        <w:t xml:space="preserve"> </w:t>
      </w:r>
      <w:r w:rsidRPr="009E31A5">
        <w:rPr>
          <w:rFonts w:ascii="Arial" w:hAnsi="Arial" w:cs="Arial"/>
          <w:bCs/>
          <w:sz w:val="22"/>
          <w:szCs w:val="22"/>
        </w:rPr>
        <w:t>y que se relacionan a continuación por cada área responsable</w:t>
      </w:r>
      <w:r w:rsidR="0095434C" w:rsidRPr="009E31A5">
        <w:rPr>
          <w:rFonts w:ascii="Arial" w:hAnsi="Arial" w:cs="Arial"/>
          <w:bCs/>
          <w:sz w:val="22"/>
          <w:szCs w:val="22"/>
        </w:rPr>
        <w:t xml:space="preserve"> y hallazgo</w:t>
      </w:r>
      <w:r w:rsidRPr="009E31A5">
        <w:rPr>
          <w:rFonts w:ascii="Arial" w:hAnsi="Arial" w:cs="Arial"/>
          <w:bCs/>
          <w:sz w:val="22"/>
          <w:szCs w:val="22"/>
        </w:rPr>
        <w:t>:</w:t>
      </w:r>
      <w:r w:rsidR="00662C7B" w:rsidRPr="009E31A5">
        <w:rPr>
          <w:rFonts w:ascii="Arial" w:hAnsi="Arial" w:cs="Arial"/>
          <w:bCs/>
          <w:sz w:val="22"/>
          <w:szCs w:val="22"/>
        </w:rPr>
        <w:t xml:space="preserve"> </w:t>
      </w:r>
    </w:p>
    <w:p w14:paraId="602C39B5" w14:textId="77777777" w:rsidR="006B0D63" w:rsidRPr="009E31A5" w:rsidRDefault="006B0D63" w:rsidP="001206FD">
      <w:pPr>
        <w:jc w:val="both"/>
        <w:rPr>
          <w:rFonts w:ascii="Arial" w:hAnsi="Arial" w:cs="Arial"/>
          <w:bCs/>
          <w:sz w:val="22"/>
          <w:szCs w:val="22"/>
        </w:rPr>
      </w:pPr>
    </w:p>
    <w:p w14:paraId="7BC6BAD8" w14:textId="6AEE77E4" w:rsidR="006B0D63" w:rsidRDefault="006B0D63" w:rsidP="001C5A87">
      <w:pPr>
        <w:contextualSpacing/>
        <w:jc w:val="center"/>
        <w:rPr>
          <w:rFonts w:ascii="Arial" w:hAnsi="Arial" w:cs="Arial"/>
          <w:b/>
          <w:bCs/>
          <w:i/>
          <w:iCs/>
          <w:sz w:val="20"/>
          <w:szCs w:val="20"/>
        </w:rPr>
      </w:pPr>
      <w:r w:rsidRPr="00A301D0">
        <w:rPr>
          <w:rFonts w:ascii="Arial" w:hAnsi="Arial" w:cs="Arial"/>
          <w:b/>
          <w:bCs/>
          <w:i/>
          <w:iCs/>
          <w:sz w:val="20"/>
          <w:szCs w:val="20"/>
        </w:rPr>
        <w:t>TABLA</w:t>
      </w:r>
      <w:r w:rsidR="001C5A87" w:rsidRPr="00A301D0">
        <w:rPr>
          <w:rFonts w:ascii="Arial" w:hAnsi="Arial" w:cs="Arial"/>
          <w:b/>
          <w:bCs/>
          <w:i/>
          <w:iCs/>
          <w:sz w:val="20"/>
          <w:szCs w:val="20"/>
        </w:rPr>
        <w:t xml:space="preserve"> N</w:t>
      </w:r>
      <w:r w:rsidRPr="00A301D0">
        <w:rPr>
          <w:rFonts w:ascii="Arial" w:hAnsi="Arial" w:cs="Arial"/>
          <w:b/>
          <w:bCs/>
          <w:i/>
          <w:iCs/>
          <w:sz w:val="20"/>
          <w:szCs w:val="20"/>
        </w:rPr>
        <w:t>°</w:t>
      </w:r>
      <w:r w:rsidR="001C5A87" w:rsidRPr="00A301D0">
        <w:rPr>
          <w:rFonts w:ascii="Arial" w:hAnsi="Arial" w:cs="Arial"/>
          <w:b/>
          <w:bCs/>
          <w:i/>
          <w:iCs/>
          <w:sz w:val="20"/>
          <w:szCs w:val="20"/>
        </w:rPr>
        <w:t>. 4</w:t>
      </w:r>
      <w:r w:rsidRPr="00A301D0">
        <w:rPr>
          <w:rFonts w:ascii="Arial" w:hAnsi="Arial" w:cs="Arial"/>
          <w:b/>
          <w:bCs/>
          <w:i/>
          <w:iCs/>
          <w:sz w:val="20"/>
          <w:szCs w:val="20"/>
        </w:rPr>
        <w:t xml:space="preserve"> METAS CUMPLIDAS</w:t>
      </w:r>
    </w:p>
    <w:p w14:paraId="69CFF863" w14:textId="597A510D" w:rsidR="001206FD" w:rsidRPr="006B0D63" w:rsidRDefault="001206FD" w:rsidP="001C5A87">
      <w:pPr>
        <w:contextualSpacing/>
        <w:jc w:val="center"/>
        <w:rPr>
          <w:rFonts w:ascii="Arial" w:hAnsi="Arial" w:cs="Arial"/>
          <w:b/>
          <w:bCs/>
          <w:sz w:val="18"/>
          <w:szCs w:val="18"/>
        </w:rPr>
      </w:pPr>
    </w:p>
    <w:tbl>
      <w:tblPr>
        <w:tblStyle w:val="Tablanormal2"/>
        <w:tblW w:w="0" w:type="auto"/>
        <w:jc w:val="center"/>
        <w:tblLook w:val="0060" w:firstRow="1" w:lastRow="1" w:firstColumn="0" w:lastColumn="0" w:noHBand="0" w:noVBand="0"/>
      </w:tblPr>
      <w:tblGrid>
        <w:gridCol w:w="7678"/>
        <w:gridCol w:w="816"/>
      </w:tblGrid>
      <w:tr w:rsidR="002D7FA3" w:rsidRPr="009E31A5" w14:paraId="65C3FD7B" w14:textId="77777777" w:rsidTr="006B0D63">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8EAADB" w:themeFill="accent1" w:themeFillTint="99"/>
            <w:vAlign w:val="center"/>
          </w:tcPr>
          <w:p w14:paraId="1A1E5D7E" w14:textId="1F399FA4" w:rsidR="002D7FA3" w:rsidRPr="006B0D63" w:rsidRDefault="002D7FA3" w:rsidP="006B0D63">
            <w:pPr>
              <w:autoSpaceDE w:val="0"/>
              <w:autoSpaceDN w:val="0"/>
              <w:adjustRightInd w:val="0"/>
              <w:jc w:val="center"/>
              <w:rPr>
                <w:rFonts w:ascii="Arial" w:hAnsi="Arial" w:cs="Arial"/>
                <w:bCs w:val="0"/>
                <w:sz w:val="18"/>
                <w:szCs w:val="18"/>
                <w:lang w:val="es-ES_tradnl"/>
              </w:rPr>
            </w:pPr>
            <w:r w:rsidRPr="006B0D63">
              <w:rPr>
                <w:rFonts w:ascii="Arial" w:hAnsi="Arial" w:cs="Arial"/>
                <w:bCs w:val="0"/>
                <w:sz w:val="18"/>
                <w:szCs w:val="18"/>
                <w:lang w:val="es-ES_tradnl"/>
              </w:rPr>
              <w:t>DEPENDENCIA RESPONSABLE / AUDITORIA CGR</w:t>
            </w:r>
          </w:p>
        </w:tc>
        <w:tc>
          <w:tcPr>
            <w:cnfStyle w:val="000001000000" w:firstRow="0" w:lastRow="0" w:firstColumn="0" w:lastColumn="0" w:oddVBand="0" w:evenVBand="1" w:oddHBand="0" w:evenHBand="0" w:firstRowFirstColumn="0" w:firstRowLastColumn="0" w:lastRowFirstColumn="0" w:lastRowLastColumn="0"/>
            <w:tcW w:w="0" w:type="auto"/>
            <w:shd w:val="clear" w:color="auto" w:fill="8EAADB" w:themeFill="accent1" w:themeFillTint="99"/>
            <w:vAlign w:val="center"/>
          </w:tcPr>
          <w:p w14:paraId="710B9E47" w14:textId="77777777" w:rsidR="002D7FA3" w:rsidRPr="006B0D63" w:rsidRDefault="002D7FA3" w:rsidP="006B0D63">
            <w:pPr>
              <w:autoSpaceDE w:val="0"/>
              <w:autoSpaceDN w:val="0"/>
              <w:adjustRightInd w:val="0"/>
              <w:jc w:val="center"/>
              <w:rPr>
                <w:rFonts w:ascii="Arial" w:hAnsi="Arial" w:cs="Arial"/>
                <w:sz w:val="18"/>
                <w:szCs w:val="18"/>
                <w:lang w:val="es-ES_tradnl"/>
              </w:rPr>
            </w:pPr>
            <w:r w:rsidRPr="006B0D63">
              <w:rPr>
                <w:rFonts w:ascii="Arial" w:hAnsi="Arial" w:cs="Arial"/>
                <w:sz w:val="18"/>
                <w:szCs w:val="18"/>
                <w:lang w:val="es-ES_tradnl"/>
              </w:rPr>
              <w:t>TOTAL</w:t>
            </w:r>
          </w:p>
        </w:tc>
      </w:tr>
      <w:tr w:rsidR="002D7FA3" w:rsidRPr="009E31A5" w14:paraId="6F84F7FF" w14:textId="77777777" w:rsidTr="006B0D63">
        <w:trPr>
          <w:cnfStyle w:val="000000100000" w:firstRow="0" w:lastRow="0" w:firstColumn="0" w:lastColumn="0" w:oddVBand="0" w:evenVBand="0" w:oddHBand="1" w:evenHBand="0" w:firstRowFirstColumn="0" w:firstRowLastColumn="0" w:lastRowFirstColumn="0" w:lastRowLastColumn="0"/>
          <w:trHeight w:val="340"/>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vAlign w:val="center"/>
          </w:tcPr>
          <w:p w14:paraId="5B117E4C" w14:textId="77777777" w:rsidR="002D7FA3" w:rsidRPr="006B0D63" w:rsidRDefault="002D7FA3" w:rsidP="006B0D63">
            <w:pPr>
              <w:autoSpaceDE w:val="0"/>
              <w:autoSpaceDN w:val="0"/>
              <w:adjustRightInd w:val="0"/>
              <w:rPr>
                <w:rFonts w:ascii="Arial" w:hAnsi="Arial" w:cs="Arial"/>
                <w:b/>
                <w:sz w:val="18"/>
                <w:szCs w:val="18"/>
                <w:lang w:val="es-ES_tradnl"/>
              </w:rPr>
            </w:pPr>
            <w:r w:rsidRPr="006B0D63">
              <w:rPr>
                <w:rFonts w:ascii="Arial" w:hAnsi="Arial" w:cs="Arial"/>
                <w:b/>
                <w:sz w:val="18"/>
                <w:szCs w:val="18"/>
                <w:lang w:val="es-ES_tradnl"/>
              </w:rPr>
              <w:t>SUBDIRECCIÓN DE BIENES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vAlign w:val="center"/>
          </w:tcPr>
          <w:p w14:paraId="31B107CC" w14:textId="7DEB38DC" w:rsidR="002D7FA3" w:rsidRPr="006B0D63" w:rsidRDefault="002D7FA3" w:rsidP="006B0D63">
            <w:pPr>
              <w:autoSpaceDE w:val="0"/>
              <w:autoSpaceDN w:val="0"/>
              <w:adjustRightInd w:val="0"/>
              <w:jc w:val="center"/>
              <w:rPr>
                <w:rFonts w:ascii="Arial" w:hAnsi="Arial" w:cs="Arial"/>
                <w:b/>
                <w:sz w:val="18"/>
                <w:szCs w:val="18"/>
                <w:lang w:val="es-ES_tradnl"/>
              </w:rPr>
            </w:pPr>
            <w:r w:rsidRPr="006B0D63">
              <w:rPr>
                <w:rFonts w:ascii="Arial" w:hAnsi="Arial" w:cs="Arial"/>
                <w:b/>
                <w:sz w:val="18"/>
                <w:szCs w:val="18"/>
                <w:lang w:val="es-ES_tradnl"/>
              </w:rPr>
              <w:t>4</w:t>
            </w:r>
          </w:p>
        </w:tc>
      </w:tr>
      <w:tr w:rsidR="002D7FA3" w:rsidRPr="009E31A5" w14:paraId="0349F1C5" w14:textId="77777777" w:rsidTr="006B0D63">
        <w:trPr>
          <w:trHeight w:val="34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09221D74" w14:textId="2D071D91" w:rsidR="002D7FA3" w:rsidRPr="006B0D63" w:rsidRDefault="002D7FA3" w:rsidP="006B0D63">
            <w:pPr>
              <w:autoSpaceDE w:val="0"/>
              <w:autoSpaceDN w:val="0"/>
              <w:adjustRightInd w:val="0"/>
              <w:rPr>
                <w:rFonts w:ascii="Arial" w:hAnsi="Arial" w:cs="Arial"/>
                <w:sz w:val="18"/>
                <w:szCs w:val="18"/>
                <w:lang w:val="es-ES_tradnl"/>
              </w:rPr>
            </w:pPr>
            <w:r w:rsidRPr="006B0D63">
              <w:rPr>
                <w:rFonts w:ascii="Arial" w:hAnsi="Arial" w:cs="Arial"/>
                <w:sz w:val="18"/>
                <w:szCs w:val="18"/>
                <w:lang w:val="es-ES_tradnl"/>
              </w:rPr>
              <w:t>Hallazgo No. 7. – Actividades de Post Venta Contrato de Obra No. 0019 de 2021 (A)</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344CD9BD" w14:textId="77777777" w:rsidR="002D7FA3" w:rsidRPr="006B0D63" w:rsidRDefault="002D7FA3" w:rsidP="006B0D63">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1</w:t>
            </w:r>
          </w:p>
        </w:tc>
      </w:tr>
      <w:tr w:rsidR="002D7FA3" w:rsidRPr="009E31A5" w14:paraId="2719A344" w14:textId="77777777" w:rsidTr="006B0D63">
        <w:trPr>
          <w:cnfStyle w:val="000000100000" w:firstRow="0" w:lastRow="0" w:firstColumn="0" w:lastColumn="0" w:oddVBand="0" w:evenVBand="0" w:oddHBand="1" w:evenHBand="0" w:firstRowFirstColumn="0" w:firstRowLastColumn="0" w:lastRowFirstColumn="0" w:lastRowLastColumn="0"/>
          <w:trHeight w:val="34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4E2BCAF3" w14:textId="4163CEF3" w:rsidR="002D7FA3" w:rsidRPr="006B0D63" w:rsidRDefault="002D7FA3" w:rsidP="006B0D63">
            <w:pPr>
              <w:autoSpaceDE w:val="0"/>
              <w:autoSpaceDN w:val="0"/>
              <w:adjustRightInd w:val="0"/>
              <w:rPr>
                <w:rFonts w:ascii="Arial" w:hAnsi="Arial" w:cs="Arial"/>
                <w:sz w:val="18"/>
                <w:szCs w:val="18"/>
                <w:lang w:val="es-ES_tradnl"/>
              </w:rPr>
            </w:pPr>
            <w:r w:rsidRPr="006B0D63">
              <w:rPr>
                <w:rFonts w:ascii="Arial" w:hAnsi="Arial" w:cs="Arial"/>
                <w:sz w:val="18"/>
                <w:szCs w:val="18"/>
                <w:lang w:val="es-ES_tradnl"/>
              </w:rPr>
              <w:t>Hallazgo No. 12. Intervención Edificio Montecarlo - Envigado</w:t>
            </w:r>
            <w:r w:rsidR="0059431E" w:rsidRPr="006B0D63">
              <w:rPr>
                <w:rFonts w:ascii="Arial" w:hAnsi="Arial" w:cs="Arial"/>
                <w:sz w:val="18"/>
                <w:szCs w:val="18"/>
                <w:lang w:val="es-ES_tradnl"/>
              </w:rPr>
              <w:t xml:space="preserve"> (A)</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3AF6BF67" w14:textId="77777777" w:rsidR="002D7FA3" w:rsidRPr="006B0D63" w:rsidRDefault="002D7FA3" w:rsidP="006B0D63">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1</w:t>
            </w:r>
          </w:p>
        </w:tc>
      </w:tr>
      <w:tr w:rsidR="002D7FA3" w:rsidRPr="009E31A5" w14:paraId="3EAAD070" w14:textId="77777777" w:rsidTr="006B0D63">
        <w:trPr>
          <w:trHeight w:val="34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5E9C3BC7" w14:textId="670C821E" w:rsidR="002D7FA3" w:rsidRPr="006B0D63" w:rsidRDefault="002D7FA3" w:rsidP="006B0D63">
            <w:pPr>
              <w:autoSpaceDE w:val="0"/>
              <w:autoSpaceDN w:val="0"/>
              <w:adjustRightInd w:val="0"/>
              <w:rPr>
                <w:rFonts w:ascii="Arial" w:hAnsi="Arial" w:cs="Arial"/>
                <w:sz w:val="18"/>
                <w:szCs w:val="18"/>
                <w:lang w:val="es-ES_tradnl"/>
              </w:rPr>
            </w:pPr>
            <w:r w:rsidRPr="006B0D63">
              <w:rPr>
                <w:rFonts w:ascii="Arial" w:hAnsi="Arial" w:cs="Arial"/>
                <w:sz w:val="18"/>
                <w:szCs w:val="18"/>
                <w:lang w:val="es-ES_tradnl"/>
              </w:rPr>
              <w:t>Hallazgo No. 13. Pago sanciones e intereses impuesto vehicular y predial (BA)</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7702BA1D" w14:textId="5177B009" w:rsidR="002D7FA3" w:rsidRPr="006B0D63" w:rsidRDefault="002D7FA3" w:rsidP="006B0D63">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1</w:t>
            </w:r>
          </w:p>
        </w:tc>
      </w:tr>
      <w:tr w:rsidR="0059431E" w:rsidRPr="009E31A5" w14:paraId="65A15FB6" w14:textId="77777777" w:rsidTr="006B0D63">
        <w:trPr>
          <w:cnfStyle w:val="000000100000" w:firstRow="0" w:lastRow="0" w:firstColumn="0" w:lastColumn="0" w:oddVBand="0" w:evenVBand="0" w:oddHBand="1" w:evenHBand="0" w:firstRowFirstColumn="0" w:firstRowLastColumn="0" w:lastRowFirstColumn="0" w:lastRowLastColumn="0"/>
          <w:trHeight w:val="34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1BAF7386" w14:textId="77777777" w:rsidR="0059431E" w:rsidRPr="006B0D63" w:rsidRDefault="0059431E" w:rsidP="006B0D63">
            <w:pPr>
              <w:autoSpaceDE w:val="0"/>
              <w:autoSpaceDN w:val="0"/>
              <w:adjustRightInd w:val="0"/>
              <w:rPr>
                <w:rFonts w:ascii="Arial" w:hAnsi="Arial" w:cs="Arial"/>
                <w:sz w:val="18"/>
                <w:szCs w:val="18"/>
                <w:lang w:val="es-ES_tradnl"/>
              </w:rPr>
            </w:pPr>
            <w:r w:rsidRPr="006B0D63">
              <w:rPr>
                <w:rFonts w:ascii="Arial" w:hAnsi="Arial" w:cs="Arial"/>
                <w:sz w:val="18"/>
                <w:szCs w:val="18"/>
                <w:lang w:val="es-ES_tradnl"/>
              </w:rPr>
              <w:t>Hallazgo No. 19. Identificación de bienes (A)</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34EF912E" w14:textId="77777777" w:rsidR="0059431E" w:rsidRPr="006B0D63" w:rsidRDefault="0059431E" w:rsidP="006B0D63">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1</w:t>
            </w:r>
          </w:p>
        </w:tc>
      </w:tr>
      <w:tr w:rsidR="002D7FA3" w:rsidRPr="009E31A5" w14:paraId="4CF63161" w14:textId="77777777" w:rsidTr="006B0D63">
        <w:trPr>
          <w:trHeight w:val="340"/>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vAlign w:val="center"/>
          </w:tcPr>
          <w:p w14:paraId="327F4809" w14:textId="02D451CF" w:rsidR="002D7FA3" w:rsidRPr="006B0D63" w:rsidRDefault="002D7FA3" w:rsidP="006B0D63">
            <w:pPr>
              <w:autoSpaceDE w:val="0"/>
              <w:autoSpaceDN w:val="0"/>
              <w:adjustRightInd w:val="0"/>
              <w:rPr>
                <w:rFonts w:ascii="Arial" w:hAnsi="Arial" w:cs="Arial"/>
                <w:b/>
                <w:bCs/>
                <w:sz w:val="18"/>
                <w:szCs w:val="18"/>
                <w:lang w:val="es-ES_tradnl"/>
              </w:rPr>
            </w:pPr>
            <w:r w:rsidRPr="006B0D63">
              <w:rPr>
                <w:rFonts w:ascii="Arial" w:hAnsi="Arial" w:cs="Arial"/>
                <w:b/>
                <w:bCs/>
                <w:sz w:val="18"/>
                <w:szCs w:val="18"/>
                <w:lang w:val="es-ES_tradnl"/>
              </w:rPr>
              <w:t>SUBDIRECCIÓN TICS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vAlign w:val="center"/>
          </w:tcPr>
          <w:p w14:paraId="68818C74" w14:textId="0F455041" w:rsidR="002D7FA3" w:rsidRPr="006B0D63" w:rsidRDefault="002D7FA3" w:rsidP="006B0D63">
            <w:pPr>
              <w:autoSpaceDE w:val="0"/>
              <w:autoSpaceDN w:val="0"/>
              <w:adjustRightInd w:val="0"/>
              <w:jc w:val="center"/>
              <w:rPr>
                <w:rFonts w:ascii="Arial" w:hAnsi="Arial" w:cs="Arial"/>
                <w:b/>
                <w:bCs/>
                <w:sz w:val="18"/>
                <w:szCs w:val="18"/>
                <w:lang w:val="es-ES_tradnl"/>
              </w:rPr>
            </w:pPr>
            <w:r w:rsidRPr="006B0D63">
              <w:rPr>
                <w:rFonts w:ascii="Arial" w:hAnsi="Arial" w:cs="Arial"/>
                <w:b/>
                <w:bCs/>
                <w:sz w:val="18"/>
                <w:szCs w:val="18"/>
                <w:lang w:val="es-ES_tradnl"/>
              </w:rPr>
              <w:t>3</w:t>
            </w:r>
          </w:p>
        </w:tc>
      </w:tr>
      <w:tr w:rsidR="002D7FA3" w:rsidRPr="009E31A5" w14:paraId="193E83DD" w14:textId="77777777" w:rsidTr="006B0D63">
        <w:trPr>
          <w:cnfStyle w:val="000000100000" w:firstRow="0" w:lastRow="0" w:firstColumn="0" w:lastColumn="0" w:oddVBand="0" w:evenVBand="0" w:oddHBand="1" w:evenHBand="0" w:firstRowFirstColumn="0" w:firstRowLastColumn="0" w:lastRowFirstColumn="0" w:lastRowLastColumn="0"/>
          <w:trHeight w:val="34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1BD13E04" w14:textId="4CDAEA10" w:rsidR="002D7FA3" w:rsidRPr="006B0D63" w:rsidRDefault="002D7FA3" w:rsidP="006B0D63">
            <w:pPr>
              <w:autoSpaceDE w:val="0"/>
              <w:autoSpaceDN w:val="0"/>
              <w:adjustRightInd w:val="0"/>
              <w:rPr>
                <w:rFonts w:ascii="Arial" w:hAnsi="Arial" w:cs="Arial"/>
                <w:sz w:val="18"/>
                <w:szCs w:val="18"/>
                <w:lang w:val="es-ES_tradnl"/>
              </w:rPr>
            </w:pPr>
            <w:r w:rsidRPr="006B0D63">
              <w:rPr>
                <w:rFonts w:ascii="Arial" w:hAnsi="Arial" w:cs="Arial"/>
                <w:sz w:val="18"/>
                <w:szCs w:val="18"/>
                <w:lang w:val="es-ES_tradnl"/>
              </w:rPr>
              <w:t>Hallazgo No. 8 Principio de planeación en la intervención y adecuación de edificaciones (A)</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3DD115CF" w14:textId="77777777" w:rsidR="002D7FA3" w:rsidRPr="006B0D63" w:rsidRDefault="002D7FA3" w:rsidP="006B0D63">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1</w:t>
            </w:r>
          </w:p>
        </w:tc>
      </w:tr>
      <w:tr w:rsidR="002D7FA3" w:rsidRPr="009E31A5" w14:paraId="5B905AFD" w14:textId="77777777" w:rsidTr="006B0D63">
        <w:trPr>
          <w:trHeight w:val="34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0E556AB6" w14:textId="55653E55" w:rsidR="002D7FA3" w:rsidRPr="006B0D63" w:rsidRDefault="002D7FA3" w:rsidP="006B0D63">
            <w:pPr>
              <w:autoSpaceDE w:val="0"/>
              <w:autoSpaceDN w:val="0"/>
              <w:adjustRightInd w:val="0"/>
              <w:rPr>
                <w:rFonts w:ascii="Arial" w:hAnsi="Arial" w:cs="Arial"/>
                <w:sz w:val="18"/>
                <w:szCs w:val="18"/>
                <w:lang w:val="es-ES_tradnl"/>
              </w:rPr>
            </w:pPr>
            <w:r w:rsidRPr="006B0D63">
              <w:rPr>
                <w:rFonts w:ascii="Arial" w:hAnsi="Arial" w:cs="Arial"/>
                <w:sz w:val="18"/>
                <w:szCs w:val="18"/>
                <w:lang w:val="es-ES_tradnl"/>
              </w:rPr>
              <w:t>Hallazgo No. 9. Políticas de Uso y preservación de la infraestructura de red de datos y su divulgación (A)</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1F6E0A5D" w14:textId="77777777" w:rsidR="002D7FA3" w:rsidRPr="006B0D63" w:rsidRDefault="002D7FA3" w:rsidP="006B0D63">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1</w:t>
            </w:r>
          </w:p>
        </w:tc>
      </w:tr>
      <w:tr w:rsidR="002D7FA3" w:rsidRPr="009E31A5" w14:paraId="2280E896" w14:textId="77777777" w:rsidTr="006B0D63">
        <w:trPr>
          <w:cnfStyle w:val="000000100000" w:firstRow="0" w:lastRow="0" w:firstColumn="0" w:lastColumn="0" w:oddVBand="0" w:evenVBand="0" w:oddHBand="1" w:evenHBand="0" w:firstRowFirstColumn="0" w:firstRowLastColumn="0" w:lastRowFirstColumn="0" w:lastRowLastColumn="0"/>
          <w:trHeight w:val="340"/>
          <w:jc w:val="center"/>
        </w:trPr>
        <w:tc>
          <w:tcPr>
            <w:cnfStyle w:val="000010000000" w:firstRow="0" w:lastRow="0" w:firstColumn="0" w:lastColumn="0" w:oddVBand="1" w:evenVBand="0" w:oddHBand="0" w:evenHBand="0" w:firstRowFirstColumn="0" w:firstRowLastColumn="0" w:lastRowFirstColumn="0" w:lastRowLastColumn="0"/>
            <w:tcW w:w="0" w:type="auto"/>
            <w:vAlign w:val="center"/>
          </w:tcPr>
          <w:p w14:paraId="4BFF8782" w14:textId="0505FCA0" w:rsidR="002D7FA3" w:rsidRPr="006B0D63" w:rsidRDefault="002D7FA3" w:rsidP="006B0D63">
            <w:pPr>
              <w:autoSpaceDE w:val="0"/>
              <w:autoSpaceDN w:val="0"/>
              <w:adjustRightInd w:val="0"/>
              <w:rPr>
                <w:rFonts w:ascii="Arial" w:hAnsi="Arial" w:cs="Arial"/>
                <w:sz w:val="18"/>
                <w:szCs w:val="18"/>
                <w:lang w:val="es-ES_tradnl"/>
              </w:rPr>
            </w:pPr>
            <w:r w:rsidRPr="006B0D63">
              <w:rPr>
                <w:rFonts w:ascii="Arial" w:hAnsi="Arial" w:cs="Arial"/>
                <w:sz w:val="18"/>
                <w:szCs w:val="18"/>
                <w:lang w:val="es-ES_tradnl"/>
              </w:rPr>
              <w:t>Hallazgo No. 10. Priorización en actualización de SPOA y respuesta a incidentes (A)</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2F2B12E7" w14:textId="77777777" w:rsidR="002D7FA3" w:rsidRPr="006B0D63" w:rsidRDefault="002D7FA3" w:rsidP="006B0D63">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1</w:t>
            </w:r>
          </w:p>
        </w:tc>
      </w:tr>
      <w:tr w:rsidR="002D7FA3" w:rsidRPr="009E31A5" w14:paraId="30D896AB" w14:textId="77777777" w:rsidTr="006B0D63">
        <w:trPr>
          <w:cnfStyle w:val="010000000000" w:firstRow="0" w:lastRow="1" w:firstColumn="0" w:lastColumn="0" w:oddVBand="0" w:evenVBand="0" w:oddHBand="0" w:evenHBand="0" w:firstRowFirstColumn="0" w:firstRowLastColumn="0" w:lastRowFirstColumn="0" w:lastRowLastColumn="0"/>
          <w:trHeight w:val="340"/>
          <w:jc w:val="center"/>
        </w:trPr>
        <w:tc>
          <w:tcPr>
            <w:cnfStyle w:val="000010000000" w:firstRow="0" w:lastRow="0" w:firstColumn="0" w:lastColumn="0" w:oddVBand="1" w:evenVBand="0" w:oddHBand="0" w:evenHBand="0" w:firstRowFirstColumn="0" w:firstRowLastColumn="0" w:lastRowFirstColumn="0" w:lastRowLastColumn="0"/>
            <w:tcW w:w="0" w:type="auto"/>
            <w:shd w:val="clear" w:color="auto" w:fill="B4C6E7" w:themeFill="accent1" w:themeFillTint="66"/>
            <w:vAlign w:val="center"/>
          </w:tcPr>
          <w:p w14:paraId="3CBEDD8D" w14:textId="77777777" w:rsidR="002D7FA3" w:rsidRPr="006B0D63" w:rsidRDefault="002D7FA3" w:rsidP="006B0D63">
            <w:pPr>
              <w:autoSpaceDE w:val="0"/>
              <w:autoSpaceDN w:val="0"/>
              <w:adjustRightInd w:val="0"/>
              <w:jc w:val="center"/>
              <w:rPr>
                <w:rFonts w:ascii="Arial" w:hAnsi="Arial" w:cs="Arial"/>
                <w:sz w:val="18"/>
                <w:szCs w:val="18"/>
                <w:lang w:val="es-ES_tradnl"/>
              </w:rPr>
            </w:pPr>
            <w:r w:rsidRPr="006B0D63">
              <w:rPr>
                <w:rFonts w:ascii="Arial" w:hAnsi="Arial" w:cs="Arial"/>
                <w:sz w:val="18"/>
                <w:szCs w:val="18"/>
                <w:lang w:val="es-ES_tradnl"/>
              </w:rPr>
              <w:t>TOTALES</w:t>
            </w:r>
          </w:p>
        </w:tc>
        <w:tc>
          <w:tcPr>
            <w:cnfStyle w:val="000001000000" w:firstRow="0" w:lastRow="0" w:firstColumn="0" w:lastColumn="0" w:oddVBand="0" w:evenVBand="1" w:oddHBand="0" w:evenHBand="0" w:firstRowFirstColumn="0" w:firstRowLastColumn="0" w:lastRowFirstColumn="0" w:lastRowLastColumn="0"/>
            <w:tcW w:w="0" w:type="auto"/>
            <w:shd w:val="clear" w:color="auto" w:fill="B4C6E7" w:themeFill="accent1" w:themeFillTint="66"/>
            <w:vAlign w:val="center"/>
          </w:tcPr>
          <w:p w14:paraId="354B9D26" w14:textId="0356CBC4" w:rsidR="002D7FA3" w:rsidRPr="006B0D63" w:rsidRDefault="002D7FA3" w:rsidP="006B0D63">
            <w:pPr>
              <w:autoSpaceDE w:val="0"/>
              <w:autoSpaceDN w:val="0"/>
              <w:adjustRightInd w:val="0"/>
              <w:jc w:val="center"/>
              <w:rPr>
                <w:rFonts w:ascii="Arial" w:hAnsi="Arial" w:cs="Arial"/>
                <w:sz w:val="18"/>
                <w:szCs w:val="18"/>
                <w:lang w:val="es-ES_tradnl"/>
              </w:rPr>
            </w:pPr>
            <w:r w:rsidRPr="006B0D63">
              <w:rPr>
                <w:rFonts w:ascii="Arial" w:hAnsi="Arial" w:cs="Arial"/>
                <w:sz w:val="18"/>
                <w:szCs w:val="18"/>
                <w:lang w:val="es-ES_tradnl"/>
              </w:rPr>
              <w:t>7</w:t>
            </w:r>
          </w:p>
        </w:tc>
      </w:tr>
    </w:tbl>
    <w:p w14:paraId="4A289783" w14:textId="77777777" w:rsidR="0059431E" w:rsidRPr="009E31A5" w:rsidRDefault="0059431E" w:rsidP="001C5752">
      <w:pPr>
        <w:contextualSpacing/>
        <w:rPr>
          <w:rFonts w:ascii="Arial" w:hAnsi="Arial" w:cs="Arial"/>
          <w:sz w:val="22"/>
          <w:szCs w:val="22"/>
        </w:rPr>
      </w:pPr>
    </w:p>
    <w:p w14:paraId="4FA3E1C0" w14:textId="30F104B3" w:rsidR="001C5752" w:rsidRPr="009E31A5" w:rsidRDefault="001C5752" w:rsidP="001C5752">
      <w:pPr>
        <w:jc w:val="both"/>
        <w:rPr>
          <w:rFonts w:ascii="Arial" w:hAnsi="Arial" w:cs="Arial"/>
          <w:b/>
          <w:bCs/>
          <w:sz w:val="22"/>
          <w:szCs w:val="22"/>
        </w:rPr>
      </w:pPr>
      <w:r w:rsidRPr="009E31A5">
        <w:rPr>
          <w:rFonts w:ascii="Arial" w:hAnsi="Arial" w:cs="Arial"/>
          <w:b/>
          <w:bCs/>
          <w:sz w:val="22"/>
          <w:szCs w:val="22"/>
        </w:rPr>
        <w:t>5.2. Metas incumplidas</w:t>
      </w:r>
    </w:p>
    <w:p w14:paraId="7DA9746B" w14:textId="39DC3145" w:rsidR="001C5752" w:rsidRPr="009E31A5" w:rsidRDefault="001C5752" w:rsidP="001C5752">
      <w:pPr>
        <w:jc w:val="both"/>
        <w:rPr>
          <w:rFonts w:ascii="Arial" w:hAnsi="Arial" w:cs="Arial"/>
          <w:b/>
          <w:bCs/>
          <w:sz w:val="22"/>
          <w:szCs w:val="22"/>
        </w:rPr>
      </w:pPr>
    </w:p>
    <w:p w14:paraId="365EC1B5" w14:textId="77777777" w:rsidR="005C13F2" w:rsidRDefault="00B93B79" w:rsidP="00B93B79">
      <w:pPr>
        <w:jc w:val="both"/>
        <w:rPr>
          <w:rFonts w:ascii="Arial" w:hAnsi="Arial" w:cs="Arial"/>
          <w:bCs/>
          <w:sz w:val="22"/>
          <w:szCs w:val="22"/>
        </w:rPr>
      </w:pPr>
      <w:r w:rsidRPr="009E31A5">
        <w:rPr>
          <w:rFonts w:ascii="Arial" w:hAnsi="Arial" w:cs="Arial"/>
          <w:bCs/>
          <w:sz w:val="22"/>
          <w:szCs w:val="22"/>
        </w:rPr>
        <w:t>Con corte 3</w:t>
      </w:r>
      <w:r w:rsidR="002D7FA3">
        <w:rPr>
          <w:rFonts w:ascii="Arial" w:hAnsi="Arial" w:cs="Arial"/>
          <w:bCs/>
          <w:sz w:val="22"/>
          <w:szCs w:val="22"/>
        </w:rPr>
        <w:t xml:space="preserve">0 de junio de </w:t>
      </w:r>
      <w:r w:rsidRPr="009E31A5">
        <w:rPr>
          <w:rFonts w:ascii="Arial" w:hAnsi="Arial" w:cs="Arial"/>
          <w:bCs/>
          <w:sz w:val="22"/>
          <w:szCs w:val="22"/>
        </w:rPr>
        <w:t>202</w:t>
      </w:r>
      <w:r w:rsidR="002D7FA3">
        <w:rPr>
          <w:rFonts w:ascii="Arial" w:hAnsi="Arial" w:cs="Arial"/>
          <w:bCs/>
          <w:sz w:val="22"/>
          <w:szCs w:val="22"/>
        </w:rPr>
        <w:t>3</w:t>
      </w:r>
      <w:r w:rsidRPr="009E31A5">
        <w:rPr>
          <w:rFonts w:ascii="Arial" w:hAnsi="Arial" w:cs="Arial"/>
          <w:bCs/>
          <w:sz w:val="22"/>
          <w:szCs w:val="22"/>
        </w:rPr>
        <w:t xml:space="preserve">, se evidenció el incumplimiento de </w:t>
      </w:r>
      <w:r w:rsidR="005C13F2">
        <w:rPr>
          <w:rFonts w:ascii="Arial" w:hAnsi="Arial" w:cs="Arial"/>
          <w:bCs/>
          <w:sz w:val="22"/>
          <w:szCs w:val="22"/>
        </w:rPr>
        <w:t>dos (2)</w:t>
      </w:r>
      <w:r w:rsidRPr="009E31A5">
        <w:rPr>
          <w:rFonts w:ascii="Arial" w:hAnsi="Arial" w:cs="Arial"/>
          <w:bCs/>
          <w:sz w:val="22"/>
          <w:szCs w:val="22"/>
        </w:rPr>
        <w:t xml:space="preserve"> meta</w:t>
      </w:r>
      <w:r w:rsidR="005C13F2">
        <w:rPr>
          <w:rFonts w:ascii="Arial" w:hAnsi="Arial" w:cs="Arial"/>
          <w:bCs/>
          <w:sz w:val="22"/>
          <w:szCs w:val="22"/>
        </w:rPr>
        <w:t>s:</w:t>
      </w:r>
    </w:p>
    <w:p w14:paraId="0942B0C2" w14:textId="77777777" w:rsidR="005C13F2" w:rsidRDefault="005C13F2" w:rsidP="00B93B79">
      <w:pPr>
        <w:jc w:val="both"/>
        <w:rPr>
          <w:rFonts w:ascii="Arial" w:hAnsi="Arial" w:cs="Arial"/>
          <w:bCs/>
          <w:sz w:val="22"/>
          <w:szCs w:val="22"/>
        </w:rPr>
      </w:pPr>
    </w:p>
    <w:p w14:paraId="710A3CD0" w14:textId="6139C484" w:rsidR="00B93B79" w:rsidRDefault="005C13F2" w:rsidP="007B5CFB">
      <w:pPr>
        <w:pStyle w:val="Prrafodelista"/>
        <w:numPr>
          <w:ilvl w:val="0"/>
          <w:numId w:val="16"/>
        </w:numPr>
        <w:jc w:val="both"/>
        <w:rPr>
          <w:rFonts w:ascii="Arial" w:hAnsi="Arial" w:cs="Arial"/>
          <w:bCs/>
          <w:sz w:val="22"/>
          <w:szCs w:val="22"/>
        </w:rPr>
      </w:pPr>
      <w:r w:rsidRPr="006B0D63">
        <w:rPr>
          <w:rFonts w:ascii="Arial" w:hAnsi="Arial" w:cs="Arial"/>
          <w:bCs/>
          <w:sz w:val="22"/>
          <w:szCs w:val="22"/>
        </w:rPr>
        <w:lastRenderedPageBreak/>
        <w:t>Hallazgo No.21 Gestión de Cobro (A) a cargo de</w:t>
      </w:r>
      <w:r w:rsidR="002D7FA3" w:rsidRPr="006B0D63">
        <w:rPr>
          <w:rFonts w:ascii="Arial" w:hAnsi="Arial" w:cs="Arial"/>
          <w:bCs/>
          <w:sz w:val="22"/>
          <w:szCs w:val="22"/>
        </w:rPr>
        <w:t xml:space="preserve"> la Subdirección Regional de apoyo a la Gestión </w:t>
      </w:r>
      <w:r w:rsidRPr="006B0D63">
        <w:rPr>
          <w:rFonts w:ascii="Arial" w:hAnsi="Arial" w:cs="Arial"/>
          <w:bCs/>
          <w:sz w:val="22"/>
          <w:szCs w:val="22"/>
        </w:rPr>
        <w:t>–</w:t>
      </w:r>
      <w:r w:rsidR="002D7FA3" w:rsidRPr="006B0D63">
        <w:rPr>
          <w:rFonts w:ascii="Arial" w:hAnsi="Arial" w:cs="Arial"/>
          <w:bCs/>
          <w:sz w:val="22"/>
          <w:szCs w:val="22"/>
        </w:rPr>
        <w:t xml:space="preserve"> Nororiental</w:t>
      </w:r>
      <w:r w:rsidRPr="006B0D63">
        <w:rPr>
          <w:rFonts w:ascii="Arial" w:hAnsi="Arial" w:cs="Arial"/>
          <w:bCs/>
          <w:sz w:val="22"/>
          <w:szCs w:val="22"/>
        </w:rPr>
        <w:t>, la cual venció el 31 de octubre de 2022 sin presentar avance.</w:t>
      </w:r>
    </w:p>
    <w:p w14:paraId="4EDDB622" w14:textId="46D9F592" w:rsidR="005C13F2" w:rsidRPr="009E31A5" w:rsidRDefault="005C13F2" w:rsidP="007B5CFB">
      <w:pPr>
        <w:pStyle w:val="Prrafodelista"/>
        <w:numPr>
          <w:ilvl w:val="0"/>
          <w:numId w:val="16"/>
        </w:numPr>
        <w:jc w:val="both"/>
        <w:rPr>
          <w:rFonts w:ascii="Arial" w:hAnsi="Arial" w:cs="Arial"/>
          <w:bCs/>
          <w:sz w:val="22"/>
          <w:szCs w:val="22"/>
        </w:rPr>
      </w:pPr>
      <w:r>
        <w:rPr>
          <w:rFonts w:ascii="Arial" w:hAnsi="Arial" w:cs="Arial"/>
          <w:bCs/>
          <w:sz w:val="22"/>
          <w:szCs w:val="22"/>
        </w:rPr>
        <w:t>Hallazgo No.19 Identificación de bienes (A) a cargo de la Subdirección de Bienes, la cual venció el 31 de marzo de 2023 sin presentar avance.</w:t>
      </w:r>
    </w:p>
    <w:p w14:paraId="1665A655" w14:textId="77777777" w:rsidR="0059431E" w:rsidRPr="009E31A5" w:rsidRDefault="0059431E" w:rsidP="00B93B79">
      <w:pPr>
        <w:jc w:val="both"/>
        <w:rPr>
          <w:rFonts w:ascii="Arial" w:hAnsi="Arial" w:cs="Arial"/>
          <w:bCs/>
          <w:sz w:val="22"/>
          <w:szCs w:val="22"/>
        </w:rPr>
      </w:pPr>
    </w:p>
    <w:p w14:paraId="3969B97E" w14:textId="6908DE12" w:rsidR="00320AC6" w:rsidRPr="009E31A5" w:rsidRDefault="00EB16A7" w:rsidP="00320AC6">
      <w:pPr>
        <w:widowControl w:val="0"/>
        <w:numPr>
          <w:ilvl w:val="1"/>
          <w:numId w:val="12"/>
        </w:numPr>
        <w:overflowPunct w:val="0"/>
        <w:autoSpaceDE w:val="0"/>
        <w:autoSpaceDN w:val="0"/>
        <w:adjustRightInd w:val="0"/>
        <w:jc w:val="both"/>
        <w:textAlignment w:val="baseline"/>
        <w:rPr>
          <w:rFonts w:ascii="Arial" w:hAnsi="Arial" w:cs="Arial"/>
          <w:bCs/>
          <w:iCs/>
          <w:color w:val="000000"/>
          <w:sz w:val="22"/>
          <w:szCs w:val="28"/>
        </w:rPr>
      </w:pPr>
      <w:r w:rsidRPr="009E31A5">
        <w:rPr>
          <w:rFonts w:ascii="Arial" w:hAnsi="Arial" w:cs="Arial"/>
          <w:b/>
          <w:iCs/>
          <w:color w:val="000000"/>
          <w:sz w:val="22"/>
          <w:szCs w:val="28"/>
        </w:rPr>
        <w:t xml:space="preserve">Metas </w:t>
      </w:r>
      <w:r w:rsidR="00A87468" w:rsidRPr="009E31A5">
        <w:rPr>
          <w:rFonts w:ascii="Arial" w:hAnsi="Arial" w:cs="Arial"/>
          <w:b/>
          <w:iCs/>
          <w:color w:val="000000"/>
          <w:sz w:val="22"/>
          <w:szCs w:val="28"/>
        </w:rPr>
        <w:t xml:space="preserve">sin vencer </w:t>
      </w:r>
      <w:r w:rsidRPr="009E31A5">
        <w:rPr>
          <w:rFonts w:ascii="Arial" w:hAnsi="Arial" w:cs="Arial"/>
          <w:b/>
          <w:iCs/>
          <w:color w:val="000000"/>
          <w:sz w:val="22"/>
          <w:szCs w:val="28"/>
        </w:rPr>
        <w:t xml:space="preserve">que </w:t>
      </w:r>
      <w:r w:rsidR="00A87468" w:rsidRPr="009E31A5">
        <w:rPr>
          <w:rFonts w:ascii="Arial" w:hAnsi="Arial" w:cs="Arial"/>
          <w:b/>
          <w:iCs/>
          <w:color w:val="000000"/>
          <w:sz w:val="22"/>
          <w:szCs w:val="28"/>
        </w:rPr>
        <w:t>están</w:t>
      </w:r>
      <w:r w:rsidRPr="009E31A5">
        <w:rPr>
          <w:rFonts w:ascii="Arial" w:hAnsi="Arial" w:cs="Arial"/>
          <w:b/>
          <w:iCs/>
          <w:color w:val="000000"/>
          <w:sz w:val="22"/>
          <w:szCs w:val="28"/>
        </w:rPr>
        <w:t xml:space="preserve"> en ejecución</w:t>
      </w:r>
    </w:p>
    <w:p w14:paraId="2E4DF9AB" w14:textId="2E9E96B9" w:rsidR="00320AC6" w:rsidRPr="009E31A5" w:rsidRDefault="00320AC6" w:rsidP="00320AC6">
      <w:pPr>
        <w:widowControl w:val="0"/>
        <w:overflowPunct w:val="0"/>
        <w:autoSpaceDE w:val="0"/>
        <w:autoSpaceDN w:val="0"/>
        <w:adjustRightInd w:val="0"/>
        <w:jc w:val="both"/>
        <w:textAlignment w:val="baseline"/>
        <w:rPr>
          <w:rFonts w:ascii="Arial" w:hAnsi="Arial" w:cs="Arial"/>
          <w:b/>
          <w:iCs/>
          <w:color w:val="000000"/>
          <w:sz w:val="22"/>
          <w:szCs w:val="28"/>
        </w:rPr>
      </w:pPr>
    </w:p>
    <w:p w14:paraId="14CF0E57" w14:textId="4F42996F" w:rsidR="00964116" w:rsidRPr="009E31A5" w:rsidRDefault="00964116" w:rsidP="00964116">
      <w:pPr>
        <w:widowControl w:val="0"/>
        <w:overflowPunct w:val="0"/>
        <w:autoSpaceDE w:val="0"/>
        <w:autoSpaceDN w:val="0"/>
        <w:adjustRightInd w:val="0"/>
        <w:jc w:val="both"/>
        <w:textAlignment w:val="baseline"/>
        <w:rPr>
          <w:rFonts w:ascii="Arial" w:hAnsi="Arial" w:cs="Arial"/>
          <w:bCs/>
          <w:iCs/>
          <w:color w:val="000000"/>
          <w:sz w:val="22"/>
          <w:szCs w:val="28"/>
        </w:rPr>
      </w:pPr>
      <w:r w:rsidRPr="009E31A5">
        <w:rPr>
          <w:rFonts w:ascii="Arial" w:hAnsi="Arial" w:cs="Arial"/>
          <w:bCs/>
          <w:iCs/>
          <w:color w:val="000000"/>
          <w:sz w:val="22"/>
          <w:szCs w:val="28"/>
        </w:rPr>
        <w:t xml:space="preserve">A continuación, se relacionan las </w:t>
      </w:r>
      <w:r w:rsidR="00CC0D06">
        <w:rPr>
          <w:rFonts w:ascii="Arial" w:hAnsi="Arial" w:cs="Arial"/>
          <w:bCs/>
          <w:iCs/>
          <w:color w:val="000000"/>
          <w:sz w:val="22"/>
          <w:szCs w:val="28"/>
        </w:rPr>
        <w:t>3</w:t>
      </w:r>
      <w:r w:rsidR="002D1D19" w:rsidRPr="009E31A5">
        <w:rPr>
          <w:rFonts w:ascii="Arial" w:hAnsi="Arial" w:cs="Arial"/>
          <w:bCs/>
          <w:iCs/>
          <w:color w:val="000000"/>
          <w:sz w:val="22"/>
          <w:szCs w:val="28"/>
        </w:rPr>
        <w:t xml:space="preserve"> </w:t>
      </w:r>
      <w:r w:rsidRPr="009E31A5">
        <w:rPr>
          <w:rFonts w:ascii="Arial" w:hAnsi="Arial" w:cs="Arial"/>
          <w:bCs/>
          <w:iCs/>
          <w:color w:val="000000"/>
          <w:sz w:val="22"/>
          <w:szCs w:val="28"/>
        </w:rPr>
        <w:t xml:space="preserve">metas que se encuentran en ejecución y que finalizan </w:t>
      </w:r>
      <w:r w:rsidR="005F3601" w:rsidRPr="009E31A5">
        <w:rPr>
          <w:rFonts w:ascii="Arial" w:hAnsi="Arial" w:cs="Arial"/>
          <w:bCs/>
          <w:iCs/>
          <w:color w:val="000000"/>
          <w:sz w:val="22"/>
          <w:szCs w:val="28"/>
        </w:rPr>
        <w:t xml:space="preserve">en </w:t>
      </w:r>
      <w:r w:rsidR="0059431E">
        <w:rPr>
          <w:rFonts w:ascii="Arial" w:hAnsi="Arial" w:cs="Arial"/>
          <w:bCs/>
          <w:iCs/>
          <w:color w:val="000000"/>
          <w:sz w:val="22"/>
          <w:szCs w:val="28"/>
        </w:rPr>
        <w:t xml:space="preserve">el segundo semestre de </w:t>
      </w:r>
      <w:r w:rsidRPr="009E31A5">
        <w:rPr>
          <w:rFonts w:ascii="Arial" w:hAnsi="Arial" w:cs="Arial"/>
          <w:bCs/>
          <w:iCs/>
          <w:color w:val="000000"/>
          <w:sz w:val="22"/>
          <w:szCs w:val="28"/>
        </w:rPr>
        <w:t>202</w:t>
      </w:r>
      <w:r w:rsidR="001C5A87" w:rsidRPr="009E31A5">
        <w:rPr>
          <w:rFonts w:ascii="Arial" w:hAnsi="Arial" w:cs="Arial"/>
          <w:bCs/>
          <w:iCs/>
          <w:color w:val="000000"/>
          <w:sz w:val="22"/>
          <w:szCs w:val="28"/>
        </w:rPr>
        <w:t>3</w:t>
      </w:r>
      <w:r w:rsidR="005F3601" w:rsidRPr="009E31A5">
        <w:rPr>
          <w:rFonts w:ascii="Arial" w:hAnsi="Arial" w:cs="Arial"/>
          <w:bCs/>
          <w:iCs/>
          <w:color w:val="000000"/>
          <w:sz w:val="22"/>
          <w:szCs w:val="28"/>
        </w:rPr>
        <w:t>,</w:t>
      </w:r>
      <w:r w:rsidRPr="009E31A5">
        <w:rPr>
          <w:rFonts w:ascii="Arial" w:hAnsi="Arial" w:cs="Arial"/>
          <w:bCs/>
          <w:iCs/>
          <w:color w:val="000000"/>
          <w:sz w:val="22"/>
          <w:szCs w:val="28"/>
        </w:rPr>
        <w:t xml:space="preserve"> y que </w:t>
      </w:r>
      <w:r w:rsidR="005F3601" w:rsidRPr="009E31A5">
        <w:rPr>
          <w:rFonts w:ascii="Arial" w:hAnsi="Arial" w:cs="Arial"/>
          <w:bCs/>
          <w:iCs/>
          <w:color w:val="000000"/>
          <w:sz w:val="22"/>
          <w:szCs w:val="28"/>
        </w:rPr>
        <w:t xml:space="preserve">presentan </w:t>
      </w:r>
      <w:r w:rsidR="0059431E">
        <w:rPr>
          <w:rFonts w:ascii="Arial" w:hAnsi="Arial" w:cs="Arial"/>
          <w:bCs/>
          <w:iCs/>
          <w:color w:val="000000"/>
          <w:sz w:val="22"/>
          <w:szCs w:val="28"/>
        </w:rPr>
        <w:t xml:space="preserve">el siguiente nivel </w:t>
      </w:r>
      <w:r w:rsidR="005F3601" w:rsidRPr="009E31A5">
        <w:rPr>
          <w:rFonts w:ascii="Arial" w:hAnsi="Arial" w:cs="Arial"/>
          <w:bCs/>
          <w:iCs/>
          <w:color w:val="000000"/>
          <w:sz w:val="22"/>
          <w:szCs w:val="28"/>
        </w:rPr>
        <w:t xml:space="preserve">avance </w:t>
      </w:r>
      <w:r w:rsidR="006B0D63">
        <w:rPr>
          <w:rFonts w:ascii="Arial" w:hAnsi="Arial" w:cs="Arial"/>
          <w:bCs/>
          <w:iCs/>
          <w:color w:val="000000"/>
          <w:sz w:val="22"/>
          <w:szCs w:val="28"/>
        </w:rPr>
        <w:t>al 30 de junio</w:t>
      </w:r>
      <w:r w:rsidR="0059431E">
        <w:rPr>
          <w:rFonts w:ascii="Arial" w:hAnsi="Arial" w:cs="Arial"/>
          <w:bCs/>
          <w:iCs/>
          <w:color w:val="000000"/>
          <w:sz w:val="22"/>
          <w:szCs w:val="28"/>
        </w:rPr>
        <w:t>,</w:t>
      </w:r>
      <w:r w:rsidR="005C13F2">
        <w:rPr>
          <w:rFonts w:ascii="Arial" w:hAnsi="Arial" w:cs="Arial"/>
          <w:bCs/>
          <w:iCs/>
          <w:color w:val="000000"/>
          <w:sz w:val="22"/>
          <w:szCs w:val="28"/>
        </w:rPr>
        <w:t xml:space="preserve"> así</w:t>
      </w:r>
      <w:r w:rsidRPr="009E31A5">
        <w:rPr>
          <w:rFonts w:ascii="Arial" w:hAnsi="Arial" w:cs="Arial"/>
          <w:b/>
          <w:iCs/>
          <w:color w:val="000000"/>
          <w:sz w:val="22"/>
          <w:szCs w:val="28"/>
        </w:rPr>
        <w:t>:</w:t>
      </w:r>
      <w:r w:rsidR="00662C7B" w:rsidRPr="009E31A5">
        <w:rPr>
          <w:rFonts w:ascii="Arial" w:hAnsi="Arial" w:cs="Arial"/>
          <w:b/>
          <w:iCs/>
          <w:color w:val="000000"/>
          <w:sz w:val="22"/>
          <w:szCs w:val="28"/>
        </w:rPr>
        <w:t xml:space="preserve"> </w:t>
      </w:r>
    </w:p>
    <w:p w14:paraId="7223BF06" w14:textId="77777777" w:rsidR="005C13F2" w:rsidRDefault="005C13F2" w:rsidP="008340EB">
      <w:pPr>
        <w:jc w:val="center"/>
        <w:rPr>
          <w:rFonts w:ascii="Arial" w:hAnsi="Arial" w:cs="Arial"/>
          <w:b/>
          <w:bCs/>
          <w:i/>
          <w:iCs/>
          <w:sz w:val="20"/>
          <w:szCs w:val="20"/>
        </w:rPr>
      </w:pPr>
    </w:p>
    <w:p w14:paraId="4E37637E" w14:textId="144FE799" w:rsidR="008340EB" w:rsidRDefault="006B0D63" w:rsidP="008340EB">
      <w:pPr>
        <w:jc w:val="center"/>
        <w:rPr>
          <w:rFonts w:ascii="Arial" w:hAnsi="Arial" w:cs="Arial"/>
          <w:b/>
          <w:bCs/>
          <w:i/>
          <w:iCs/>
          <w:sz w:val="20"/>
          <w:szCs w:val="20"/>
        </w:rPr>
      </w:pPr>
      <w:r w:rsidRPr="00A301D0">
        <w:rPr>
          <w:rFonts w:ascii="Arial" w:hAnsi="Arial" w:cs="Arial"/>
          <w:b/>
          <w:bCs/>
          <w:i/>
          <w:iCs/>
          <w:sz w:val="20"/>
          <w:szCs w:val="20"/>
        </w:rPr>
        <w:t xml:space="preserve">TABLA </w:t>
      </w:r>
      <w:r w:rsidR="008340EB" w:rsidRPr="00A301D0">
        <w:rPr>
          <w:rFonts w:ascii="Arial" w:hAnsi="Arial" w:cs="Arial"/>
          <w:b/>
          <w:bCs/>
          <w:i/>
          <w:iCs/>
          <w:sz w:val="20"/>
          <w:szCs w:val="20"/>
        </w:rPr>
        <w:t>N</w:t>
      </w:r>
      <w:r w:rsidRPr="00A301D0">
        <w:rPr>
          <w:rFonts w:ascii="Arial" w:hAnsi="Arial" w:cs="Arial"/>
          <w:b/>
          <w:bCs/>
          <w:i/>
          <w:iCs/>
          <w:sz w:val="20"/>
          <w:szCs w:val="20"/>
        </w:rPr>
        <w:t>°</w:t>
      </w:r>
      <w:r w:rsidR="008340EB" w:rsidRPr="00A301D0">
        <w:rPr>
          <w:rFonts w:ascii="Arial" w:hAnsi="Arial" w:cs="Arial"/>
          <w:b/>
          <w:bCs/>
          <w:i/>
          <w:iCs/>
          <w:sz w:val="20"/>
          <w:szCs w:val="20"/>
        </w:rPr>
        <w:t xml:space="preserve">. </w:t>
      </w:r>
      <w:r w:rsidR="005C13F2" w:rsidRPr="00A301D0">
        <w:rPr>
          <w:rFonts w:ascii="Arial" w:hAnsi="Arial" w:cs="Arial"/>
          <w:b/>
          <w:bCs/>
          <w:i/>
          <w:iCs/>
          <w:sz w:val="20"/>
          <w:szCs w:val="20"/>
        </w:rPr>
        <w:t>5</w:t>
      </w:r>
      <w:r w:rsidRPr="00A301D0">
        <w:rPr>
          <w:rFonts w:ascii="Arial" w:hAnsi="Arial" w:cs="Arial"/>
          <w:b/>
          <w:bCs/>
          <w:i/>
          <w:iCs/>
          <w:sz w:val="20"/>
          <w:szCs w:val="20"/>
        </w:rPr>
        <w:t xml:space="preserve"> METAS EN EJECUCIÓN</w:t>
      </w:r>
    </w:p>
    <w:p w14:paraId="4A30C53B" w14:textId="77777777" w:rsidR="006B0D63" w:rsidRPr="006B0D63" w:rsidRDefault="006B0D63" w:rsidP="008340EB">
      <w:pPr>
        <w:jc w:val="center"/>
        <w:rPr>
          <w:rFonts w:ascii="Arial" w:hAnsi="Arial" w:cs="Arial"/>
          <w:b/>
          <w:iCs/>
          <w:color w:val="000000"/>
          <w:sz w:val="16"/>
          <w:szCs w:val="20"/>
        </w:rPr>
      </w:pPr>
    </w:p>
    <w:tbl>
      <w:tblPr>
        <w:tblStyle w:val="Tablanormal2"/>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7483"/>
        <w:gridCol w:w="577"/>
        <w:gridCol w:w="577"/>
      </w:tblGrid>
      <w:tr w:rsidR="00CC0D06" w:rsidRPr="009E31A5" w14:paraId="71921FD9" w14:textId="77777777" w:rsidTr="006B0D63">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0010000000" w:firstRow="0" w:lastRow="0" w:firstColumn="0" w:lastColumn="0" w:oddVBand="1" w:evenVBand="0" w:oddHBand="0" w:evenHBand="0" w:firstRowFirstColumn="0" w:firstRowLastColumn="0" w:lastRowFirstColumn="0" w:lastRowLastColumn="0"/>
            <w:tcW w:w="7483" w:type="dxa"/>
            <w:vMerge w:val="restart"/>
            <w:tcBorders>
              <w:left w:val="none" w:sz="0" w:space="0" w:color="auto"/>
              <w:right w:val="none" w:sz="0" w:space="0" w:color="auto"/>
            </w:tcBorders>
            <w:shd w:val="clear" w:color="auto" w:fill="8EAADB" w:themeFill="accent1" w:themeFillTint="99"/>
            <w:vAlign w:val="center"/>
          </w:tcPr>
          <w:p w14:paraId="238D81B1" w14:textId="53BA051E" w:rsidR="00CC0D06" w:rsidRPr="006B0D63" w:rsidRDefault="00CC0D06" w:rsidP="00DD144B">
            <w:pPr>
              <w:autoSpaceDE w:val="0"/>
              <w:autoSpaceDN w:val="0"/>
              <w:adjustRightInd w:val="0"/>
              <w:jc w:val="center"/>
              <w:rPr>
                <w:rFonts w:ascii="Arial" w:hAnsi="Arial" w:cs="Arial"/>
                <w:sz w:val="18"/>
                <w:szCs w:val="18"/>
                <w:lang w:val="es-ES_tradnl"/>
              </w:rPr>
            </w:pPr>
            <w:r w:rsidRPr="006B0D63">
              <w:rPr>
                <w:rFonts w:ascii="Arial" w:hAnsi="Arial" w:cs="Arial"/>
                <w:bCs w:val="0"/>
                <w:sz w:val="18"/>
                <w:szCs w:val="18"/>
                <w:lang w:val="es-ES_tradnl"/>
              </w:rPr>
              <w:t>DEPENDENCIA RESPONSABLE</w:t>
            </w:r>
          </w:p>
        </w:tc>
        <w:tc>
          <w:tcPr>
            <w:cnfStyle w:val="000001000000" w:firstRow="0" w:lastRow="0" w:firstColumn="0" w:lastColumn="0" w:oddVBand="0" w:evenVBand="1" w:oddHBand="0" w:evenHBand="0" w:firstRowFirstColumn="0" w:firstRowLastColumn="0" w:lastRowFirstColumn="0" w:lastRowLastColumn="0"/>
            <w:tcW w:w="0" w:type="auto"/>
            <w:gridSpan w:val="2"/>
            <w:tcBorders>
              <w:left w:val="none" w:sz="0" w:space="0" w:color="auto"/>
              <w:right w:val="none" w:sz="0" w:space="0" w:color="auto"/>
            </w:tcBorders>
            <w:shd w:val="clear" w:color="auto" w:fill="8EAADB" w:themeFill="accent1" w:themeFillTint="99"/>
            <w:vAlign w:val="center"/>
          </w:tcPr>
          <w:p w14:paraId="7025B4B3" w14:textId="406BF15D" w:rsidR="00CC0D06" w:rsidRPr="006B0D63" w:rsidRDefault="00CC0D06" w:rsidP="00DD144B">
            <w:pPr>
              <w:autoSpaceDE w:val="0"/>
              <w:autoSpaceDN w:val="0"/>
              <w:adjustRightInd w:val="0"/>
              <w:jc w:val="center"/>
              <w:rPr>
                <w:rFonts w:ascii="Arial" w:hAnsi="Arial" w:cs="Arial"/>
                <w:sz w:val="18"/>
                <w:szCs w:val="18"/>
                <w:lang w:val="es-ES_tradnl"/>
              </w:rPr>
            </w:pPr>
            <w:r w:rsidRPr="006B0D63">
              <w:rPr>
                <w:rFonts w:ascii="Arial" w:hAnsi="Arial" w:cs="Arial"/>
                <w:sz w:val="18"/>
                <w:szCs w:val="18"/>
                <w:lang w:val="es-ES_tradnl"/>
              </w:rPr>
              <w:t>AVANCE</w:t>
            </w:r>
          </w:p>
        </w:tc>
      </w:tr>
      <w:tr w:rsidR="00CC0D06" w:rsidRPr="009E31A5" w14:paraId="175861D6" w14:textId="77777777" w:rsidTr="006B0D63">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0010000000" w:firstRow="0" w:lastRow="0" w:firstColumn="0" w:lastColumn="0" w:oddVBand="1" w:evenVBand="0" w:oddHBand="0" w:evenHBand="0" w:firstRowFirstColumn="0" w:firstRowLastColumn="0" w:lastRowFirstColumn="0" w:lastRowLastColumn="0"/>
            <w:tcW w:w="7483" w:type="dxa"/>
            <w:vMerge/>
            <w:tcBorders>
              <w:left w:val="none" w:sz="0" w:space="0" w:color="auto"/>
              <w:bottom w:val="none" w:sz="0" w:space="0" w:color="auto"/>
              <w:right w:val="none" w:sz="0" w:space="0" w:color="auto"/>
            </w:tcBorders>
            <w:shd w:val="clear" w:color="auto" w:fill="8EAADB" w:themeFill="accent1" w:themeFillTint="99"/>
            <w:vAlign w:val="center"/>
          </w:tcPr>
          <w:p w14:paraId="0DDCCC89" w14:textId="53BCA4D8" w:rsidR="00CC0D06" w:rsidRPr="006B0D63" w:rsidRDefault="00CC0D06" w:rsidP="00DD144B">
            <w:pPr>
              <w:autoSpaceDE w:val="0"/>
              <w:autoSpaceDN w:val="0"/>
              <w:adjustRightInd w:val="0"/>
              <w:jc w:val="center"/>
              <w:rPr>
                <w:rFonts w:ascii="Arial" w:hAnsi="Arial" w:cs="Arial"/>
                <w:sz w:val="18"/>
                <w:szCs w:val="18"/>
                <w:lang w:val="es-ES_tradnl"/>
              </w:rPr>
            </w:pP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8EAADB" w:themeFill="accent1" w:themeFillTint="99"/>
            <w:vAlign w:val="center"/>
          </w:tcPr>
          <w:p w14:paraId="6A9F4B41" w14:textId="721B6E4C" w:rsidR="00CC0D06" w:rsidRPr="006B0D63" w:rsidRDefault="00CC0D06" w:rsidP="00DD144B">
            <w:pPr>
              <w:autoSpaceDE w:val="0"/>
              <w:autoSpaceDN w:val="0"/>
              <w:adjustRightInd w:val="0"/>
              <w:jc w:val="center"/>
              <w:rPr>
                <w:rFonts w:ascii="Arial" w:hAnsi="Arial" w:cs="Arial"/>
                <w:sz w:val="18"/>
                <w:szCs w:val="18"/>
                <w:lang w:val="es-ES_tradnl"/>
              </w:rPr>
            </w:pPr>
            <w:r w:rsidRPr="006B0D63">
              <w:rPr>
                <w:rFonts w:ascii="Arial" w:hAnsi="Arial" w:cs="Arial"/>
                <w:sz w:val="18"/>
                <w:szCs w:val="18"/>
                <w:lang w:val="es-ES_tradnl"/>
              </w:rPr>
              <w:t>50%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shd w:val="clear" w:color="auto" w:fill="8EAADB" w:themeFill="accent1" w:themeFillTint="99"/>
            <w:vAlign w:val="center"/>
          </w:tcPr>
          <w:p w14:paraId="7C16F23F" w14:textId="183B1F5D" w:rsidR="00CC0D06" w:rsidRPr="006B0D63" w:rsidRDefault="00CC0D06" w:rsidP="00DD144B">
            <w:pPr>
              <w:autoSpaceDE w:val="0"/>
              <w:autoSpaceDN w:val="0"/>
              <w:adjustRightInd w:val="0"/>
              <w:jc w:val="center"/>
              <w:rPr>
                <w:rFonts w:ascii="Arial" w:hAnsi="Arial" w:cs="Arial"/>
                <w:sz w:val="18"/>
                <w:szCs w:val="18"/>
                <w:lang w:val="es-ES_tradnl"/>
              </w:rPr>
            </w:pPr>
            <w:r w:rsidRPr="006B0D63">
              <w:rPr>
                <w:rFonts w:ascii="Arial" w:hAnsi="Arial" w:cs="Arial"/>
                <w:sz w:val="18"/>
                <w:szCs w:val="18"/>
                <w:lang w:val="es-ES_tradnl"/>
              </w:rPr>
              <w:t>83%</w:t>
            </w:r>
          </w:p>
        </w:tc>
      </w:tr>
      <w:tr w:rsidR="005C13F2" w:rsidRPr="009E31A5" w14:paraId="2E2336BC" w14:textId="77777777" w:rsidTr="006B0D63">
        <w:trPr>
          <w:cnfStyle w:val="000000100000" w:firstRow="0" w:lastRow="0" w:firstColumn="0" w:lastColumn="0" w:oddVBand="0" w:evenVBand="0" w:oddHBand="1" w:evenHBand="0" w:firstRowFirstColumn="0" w:firstRowLastColumn="0" w:lastRowFirstColumn="0" w:lastRowLastColumn="0"/>
          <w:trHeight w:val="340"/>
          <w:jc w:val="center"/>
        </w:trPr>
        <w:tc>
          <w:tcPr>
            <w:cnfStyle w:val="000010000000" w:firstRow="0" w:lastRow="0" w:firstColumn="0" w:lastColumn="0" w:oddVBand="1" w:evenVBand="0" w:oddHBand="0" w:evenHBand="0" w:firstRowFirstColumn="0" w:firstRowLastColumn="0" w:lastRowFirstColumn="0" w:lastRowLastColumn="0"/>
            <w:tcW w:w="7483" w:type="dxa"/>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7A372615" w14:textId="77777777" w:rsidR="005C13F2" w:rsidRPr="006B0D63" w:rsidRDefault="005C13F2" w:rsidP="00DD144B">
            <w:pPr>
              <w:autoSpaceDE w:val="0"/>
              <w:autoSpaceDN w:val="0"/>
              <w:adjustRightInd w:val="0"/>
              <w:rPr>
                <w:rFonts w:ascii="Arial" w:hAnsi="Arial" w:cs="Arial"/>
                <w:b/>
                <w:sz w:val="18"/>
                <w:szCs w:val="18"/>
                <w:lang w:val="es-ES_tradnl"/>
              </w:rPr>
            </w:pPr>
            <w:r w:rsidRPr="006B0D63">
              <w:rPr>
                <w:rFonts w:ascii="Arial" w:hAnsi="Arial" w:cs="Arial"/>
                <w:b/>
                <w:sz w:val="18"/>
                <w:szCs w:val="18"/>
                <w:lang w:val="es-ES_tradnl"/>
              </w:rPr>
              <w:t>SUBDIRECCIÓN DE BIENES</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4F4247C8" w14:textId="4B572057" w:rsidR="005C13F2" w:rsidRPr="006B0D63" w:rsidRDefault="005C13F2" w:rsidP="00DD144B">
            <w:pPr>
              <w:autoSpaceDE w:val="0"/>
              <w:autoSpaceDN w:val="0"/>
              <w:adjustRightInd w:val="0"/>
              <w:jc w:val="center"/>
              <w:rPr>
                <w:rFonts w:ascii="Arial" w:hAnsi="Arial" w:cs="Arial"/>
                <w:b/>
                <w:sz w:val="18"/>
                <w:szCs w:val="18"/>
                <w:lang w:val="es-ES_tradnl"/>
              </w:rPr>
            </w:pPr>
            <w:r w:rsidRPr="006B0D63">
              <w:rPr>
                <w:rFonts w:ascii="Arial" w:hAnsi="Arial" w:cs="Arial"/>
                <w:b/>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51EE5E62" w14:textId="180798BA" w:rsidR="005C13F2" w:rsidRPr="006B0D63" w:rsidRDefault="00CC0D06" w:rsidP="00DD144B">
            <w:pPr>
              <w:autoSpaceDE w:val="0"/>
              <w:autoSpaceDN w:val="0"/>
              <w:adjustRightInd w:val="0"/>
              <w:jc w:val="center"/>
              <w:rPr>
                <w:rFonts w:ascii="Arial" w:hAnsi="Arial" w:cs="Arial"/>
                <w:b/>
                <w:sz w:val="18"/>
                <w:szCs w:val="18"/>
                <w:lang w:val="es-ES_tradnl"/>
              </w:rPr>
            </w:pPr>
            <w:r w:rsidRPr="006B0D63">
              <w:rPr>
                <w:rFonts w:ascii="Arial" w:hAnsi="Arial" w:cs="Arial"/>
                <w:b/>
                <w:sz w:val="18"/>
                <w:szCs w:val="18"/>
                <w:lang w:val="es-ES_tradnl"/>
              </w:rPr>
              <w:t>0</w:t>
            </w:r>
          </w:p>
        </w:tc>
      </w:tr>
      <w:tr w:rsidR="005C13F2" w:rsidRPr="009E31A5" w14:paraId="4FF02B6D" w14:textId="77777777" w:rsidTr="006B0D63">
        <w:trPr>
          <w:trHeight w:val="340"/>
          <w:jc w:val="center"/>
        </w:trPr>
        <w:tc>
          <w:tcPr>
            <w:cnfStyle w:val="000010000000" w:firstRow="0" w:lastRow="0" w:firstColumn="0" w:lastColumn="0" w:oddVBand="1" w:evenVBand="0" w:oddHBand="0" w:evenHBand="0" w:firstRowFirstColumn="0" w:firstRowLastColumn="0" w:lastRowFirstColumn="0" w:lastRowLastColumn="0"/>
            <w:tcW w:w="7483" w:type="dxa"/>
            <w:tcBorders>
              <w:left w:val="none" w:sz="0" w:space="0" w:color="auto"/>
              <w:right w:val="none" w:sz="0" w:space="0" w:color="auto"/>
            </w:tcBorders>
            <w:vAlign w:val="center"/>
          </w:tcPr>
          <w:p w14:paraId="3CDEB975" w14:textId="22DDB574" w:rsidR="005C13F2" w:rsidRPr="006B0D63" w:rsidRDefault="005C13F2" w:rsidP="00DD144B">
            <w:pPr>
              <w:autoSpaceDE w:val="0"/>
              <w:autoSpaceDN w:val="0"/>
              <w:adjustRightInd w:val="0"/>
              <w:rPr>
                <w:rFonts w:ascii="Arial" w:hAnsi="Arial" w:cs="Arial"/>
                <w:sz w:val="18"/>
                <w:szCs w:val="18"/>
                <w:lang w:val="es-ES_tradnl"/>
              </w:rPr>
            </w:pPr>
            <w:r w:rsidRPr="006B0D63">
              <w:rPr>
                <w:rFonts w:ascii="Arial" w:hAnsi="Arial" w:cs="Arial"/>
                <w:sz w:val="18"/>
                <w:szCs w:val="18"/>
                <w:lang w:val="es-ES_tradnl"/>
              </w:rPr>
              <w:t>Hallazgo No. 13. Pago sanciones e intereses impuesto vehicular y predial (BA)</w:t>
            </w: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right w:val="none" w:sz="0" w:space="0" w:color="auto"/>
            </w:tcBorders>
            <w:vAlign w:val="center"/>
          </w:tcPr>
          <w:p w14:paraId="5E7BEB90" w14:textId="75C90017" w:rsidR="005C13F2" w:rsidRPr="006B0D63" w:rsidRDefault="005C13F2" w:rsidP="00DD144B">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5308E1C2" w14:textId="05A7B7EE" w:rsidR="005C13F2" w:rsidRPr="006B0D63" w:rsidRDefault="005C13F2" w:rsidP="00DD144B">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w:t>
            </w:r>
          </w:p>
        </w:tc>
      </w:tr>
      <w:tr w:rsidR="005C13F2" w:rsidRPr="009E31A5" w14:paraId="37FB59A2" w14:textId="77777777" w:rsidTr="006B0D63">
        <w:trPr>
          <w:cnfStyle w:val="000000100000" w:firstRow="0" w:lastRow="0" w:firstColumn="0" w:lastColumn="0" w:oddVBand="0" w:evenVBand="0" w:oddHBand="1" w:evenHBand="0" w:firstRowFirstColumn="0" w:firstRowLastColumn="0" w:lastRowFirstColumn="0" w:lastRowLastColumn="0"/>
          <w:trHeight w:val="340"/>
          <w:jc w:val="center"/>
        </w:trPr>
        <w:tc>
          <w:tcPr>
            <w:cnfStyle w:val="000010000000" w:firstRow="0" w:lastRow="0" w:firstColumn="0" w:lastColumn="0" w:oddVBand="1" w:evenVBand="0" w:oddHBand="0" w:evenHBand="0" w:firstRowFirstColumn="0" w:firstRowLastColumn="0" w:lastRowFirstColumn="0" w:lastRowLastColumn="0"/>
            <w:tcW w:w="7483" w:type="dxa"/>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2B536317" w14:textId="6D2FD2C0" w:rsidR="005C13F2" w:rsidRPr="006B0D63" w:rsidRDefault="005C13F2" w:rsidP="002D1D19">
            <w:pPr>
              <w:autoSpaceDE w:val="0"/>
              <w:autoSpaceDN w:val="0"/>
              <w:adjustRightInd w:val="0"/>
              <w:rPr>
                <w:rFonts w:ascii="Arial" w:hAnsi="Arial" w:cs="Arial"/>
                <w:sz w:val="18"/>
                <w:szCs w:val="18"/>
                <w:lang w:val="es-ES_tradnl"/>
              </w:rPr>
            </w:pPr>
            <w:r w:rsidRPr="006B0D63">
              <w:rPr>
                <w:rFonts w:ascii="Arial" w:hAnsi="Arial" w:cs="Arial"/>
                <w:b/>
                <w:bCs/>
                <w:sz w:val="18"/>
                <w:szCs w:val="18"/>
                <w:lang w:val="es-ES_tradnl"/>
              </w:rPr>
              <w:t>SUBDIRECCIÓNES DE GESTIÒN CONTRACTUAL</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4347E1DD" w14:textId="2780EAA6" w:rsidR="005C13F2" w:rsidRPr="006B0D63" w:rsidRDefault="005C13F2" w:rsidP="002D1D19">
            <w:pPr>
              <w:autoSpaceDE w:val="0"/>
              <w:autoSpaceDN w:val="0"/>
              <w:adjustRightInd w:val="0"/>
              <w:jc w:val="center"/>
              <w:rPr>
                <w:rFonts w:ascii="Arial" w:hAnsi="Arial" w:cs="Arial"/>
                <w:b/>
                <w:bCs/>
                <w:sz w:val="18"/>
                <w:szCs w:val="18"/>
                <w:lang w:val="es-ES_tradnl"/>
              </w:rPr>
            </w:pPr>
            <w:r w:rsidRPr="006B0D63">
              <w:rPr>
                <w:rFonts w:ascii="Arial" w:hAnsi="Arial" w:cs="Arial"/>
                <w:b/>
                <w:bCs/>
                <w:sz w:val="18"/>
                <w:szCs w:val="18"/>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B4C6E7" w:themeFill="accent1" w:themeFillTint="66"/>
            <w:vAlign w:val="center"/>
          </w:tcPr>
          <w:p w14:paraId="37B0C682" w14:textId="3FFFBACA" w:rsidR="005C13F2" w:rsidRPr="006B0D63" w:rsidRDefault="005C13F2" w:rsidP="002D1D19">
            <w:pPr>
              <w:autoSpaceDE w:val="0"/>
              <w:autoSpaceDN w:val="0"/>
              <w:adjustRightInd w:val="0"/>
              <w:jc w:val="center"/>
              <w:rPr>
                <w:rFonts w:ascii="Arial" w:hAnsi="Arial" w:cs="Arial"/>
                <w:b/>
                <w:bCs/>
                <w:sz w:val="18"/>
                <w:szCs w:val="18"/>
                <w:lang w:val="es-ES_tradnl"/>
              </w:rPr>
            </w:pPr>
            <w:r w:rsidRPr="006B0D63">
              <w:rPr>
                <w:rFonts w:ascii="Arial" w:hAnsi="Arial" w:cs="Arial"/>
                <w:b/>
                <w:bCs/>
                <w:sz w:val="18"/>
                <w:szCs w:val="18"/>
                <w:lang w:val="es-ES_tradnl"/>
              </w:rPr>
              <w:t>1</w:t>
            </w:r>
          </w:p>
        </w:tc>
      </w:tr>
      <w:tr w:rsidR="005C13F2" w:rsidRPr="009E31A5" w14:paraId="23F149F3" w14:textId="77777777" w:rsidTr="006B0D63">
        <w:trPr>
          <w:trHeight w:val="340"/>
          <w:jc w:val="center"/>
        </w:trPr>
        <w:tc>
          <w:tcPr>
            <w:cnfStyle w:val="000010000000" w:firstRow="0" w:lastRow="0" w:firstColumn="0" w:lastColumn="0" w:oddVBand="1" w:evenVBand="0" w:oddHBand="0" w:evenHBand="0" w:firstRowFirstColumn="0" w:firstRowLastColumn="0" w:lastRowFirstColumn="0" w:lastRowLastColumn="0"/>
            <w:tcW w:w="7483" w:type="dxa"/>
            <w:tcBorders>
              <w:left w:val="none" w:sz="0" w:space="0" w:color="auto"/>
              <w:right w:val="none" w:sz="0" w:space="0" w:color="auto"/>
            </w:tcBorders>
            <w:vAlign w:val="center"/>
          </w:tcPr>
          <w:p w14:paraId="2B1387E8" w14:textId="0E00C819" w:rsidR="005C13F2" w:rsidRPr="006B0D63" w:rsidRDefault="005C13F2" w:rsidP="002D1D19">
            <w:pPr>
              <w:autoSpaceDE w:val="0"/>
              <w:autoSpaceDN w:val="0"/>
              <w:adjustRightInd w:val="0"/>
              <w:rPr>
                <w:rFonts w:ascii="Arial" w:hAnsi="Arial" w:cs="Arial"/>
                <w:sz w:val="18"/>
                <w:szCs w:val="18"/>
                <w:lang w:val="es-ES_tradnl"/>
              </w:rPr>
            </w:pPr>
            <w:r w:rsidRPr="006B0D63">
              <w:rPr>
                <w:rFonts w:ascii="Arial" w:hAnsi="Arial" w:cs="Arial"/>
                <w:sz w:val="18"/>
                <w:szCs w:val="18"/>
                <w:lang w:val="es-ES_tradnl"/>
              </w:rPr>
              <w:t>Hallazgo No. 6 – Acta de Inicio Concesión APP No. 0202 del 24 de diciembre de 2021. (A).</w:t>
            </w:r>
          </w:p>
        </w:tc>
        <w:tc>
          <w:tcPr>
            <w:cnfStyle w:val="000001000000" w:firstRow="0" w:lastRow="0" w:firstColumn="0" w:lastColumn="0" w:oddVBand="0" w:evenVBand="1" w:oddHBand="0" w:evenHBand="0" w:firstRowFirstColumn="0" w:firstRowLastColumn="0" w:lastRowFirstColumn="0" w:lastRowLastColumn="0"/>
            <w:tcW w:w="0" w:type="auto"/>
            <w:tcBorders>
              <w:left w:val="none" w:sz="0" w:space="0" w:color="auto"/>
              <w:right w:val="none" w:sz="0" w:space="0" w:color="auto"/>
            </w:tcBorders>
            <w:vAlign w:val="center"/>
          </w:tcPr>
          <w:p w14:paraId="7FDCAB5A" w14:textId="266E860D" w:rsidR="005C13F2" w:rsidRPr="006B0D63" w:rsidRDefault="005C13F2" w:rsidP="002D1D19">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FA68BB6" w14:textId="316F2389" w:rsidR="005C13F2" w:rsidRPr="006B0D63" w:rsidRDefault="005C13F2" w:rsidP="002D1D19">
            <w:pPr>
              <w:autoSpaceDE w:val="0"/>
              <w:autoSpaceDN w:val="0"/>
              <w:adjustRightInd w:val="0"/>
              <w:jc w:val="center"/>
              <w:rPr>
                <w:rFonts w:ascii="Arial" w:hAnsi="Arial" w:cs="Arial"/>
                <w:bCs/>
                <w:sz w:val="18"/>
                <w:szCs w:val="18"/>
                <w:lang w:val="es-ES_tradnl"/>
              </w:rPr>
            </w:pPr>
            <w:r w:rsidRPr="006B0D63">
              <w:rPr>
                <w:rFonts w:ascii="Arial" w:hAnsi="Arial" w:cs="Arial"/>
                <w:bCs/>
                <w:sz w:val="18"/>
                <w:szCs w:val="18"/>
                <w:lang w:val="es-ES_tradnl"/>
              </w:rPr>
              <w:t>1</w:t>
            </w:r>
          </w:p>
        </w:tc>
      </w:tr>
      <w:tr w:rsidR="005C13F2" w:rsidRPr="009E31A5" w14:paraId="36F8CBB9" w14:textId="77777777" w:rsidTr="006B0D63">
        <w:trPr>
          <w:cnfStyle w:val="010000000000" w:firstRow="0" w:lastRow="1" w:firstColumn="0" w:lastColumn="0" w:oddVBand="0" w:evenVBand="0" w:oddHBand="0" w:evenHBand="0" w:firstRowFirstColumn="0" w:firstRowLastColumn="0" w:lastRowFirstColumn="0" w:lastRowLastColumn="0"/>
          <w:trHeight w:val="340"/>
          <w:jc w:val="center"/>
        </w:trPr>
        <w:tc>
          <w:tcPr>
            <w:cnfStyle w:val="000010000000" w:firstRow="0" w:lastRow="0" w:firstColumn="0" w:lastColumn="0" w:oddVBand="1" w:evenVBand="0" w:oddHBand="0" w:evenHBand="0" w:firstRowFirstColumn="0" w:firstRowLastColumn="0" w:lastRowFirstColumn="0" w:lastRowLastColumn="0"/>
            <w:tcW w:w="7483" w:type="dxa"/>
            <w:tcBorders>
              <w:top w:val="none" w:sz="0" w:space="0" w:color="auto"/>
              <w:left w:val="none" w:sz="0" w:space="0" w:color="auto"/>
              <w:right w:val="none" w:sz="0" w:space="0" w:color="auto"/>
            </w:tcBorders>
            <w:shd w:val="clear" w:color="auto" w:fill="B4C6E7" w:themeFill="accent1" w:themeFillTint="66"/>
            <w:vAlign w:val="center"/>
          </w:tcPr>
          <w:p w14:paraId="79C95B35" w14:textId="77777777" w:rsidR="005C13F2" w:rsidRPr="006B0D63" w:rsidRDefault="005C13F2" w:rsidP="002D1D19">
            <w:pPr>
              <w:autoSpaceDE w:val="0"/>
              <w:autoSpaceDN w:val="0"/>
              <w:adjustRightInd w:val="0"/>
              <w:jc w:val="center"/>
              <w:rPr>
                <w:rFonts w:ascii="Arial" w:hAnsi="Arial" w:cs="Arial"/>
                <w:sz w:val="18"/>
                <w:szCs w:val="18"/>
                <w:lang w:val="es-ES_tradnl"/>
              </w:rPr>
            </w:pPr>
            <w:r w:rsidRPr="006B0D63">
              <w:rPr>
                <w:rFonts w:ascii="Arial" w:hAnsi="Arial" w:cs="Arial"/>
                <w:sz w:val="18"/>
                <w:szCs w:val="18"/>
                <w:lang w:val="es-ES_tradnl"/>
              </w:rPr>
              <w:t>TOTALES</w:t>
            </w:r>
          </w:p>
        </w:tc>
        <w:tc>
          <w:tcPr>
            <w:cnfStyle w:val="000001000000" w:firstRow="0" w:lastRow="0" w:firstColumn="0" w:lastColumn="0" w:oddVBand="0" w:evenVBand="1"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B4C6E7" w:themeFill="accent1" w:themeFillTint="66"/>
            <w:vAlign w:val="center"/>
          </w:tcPr>
          <w:p w14:paraId="2B25526D" w14:textId="5480543A" w:rsidR="005C13F2" w:rsidRPr="006B0D63" w:rsidRDefault="00CC0D06" w:rsidP="002D1D19">
            <w:pPr>
              <w:autoSpaceDE w:val="0"/>
              <w:autoSpaceDN w:val="0"/>
              <w:adjustRightInd w:val="0"/>
              <w:jc w:val="center"/>
              <w:rPr>
                <w:rFonts w:ascii="Arial" w:hAnsi="Arial" w:cs="Arial"/>
                <w:sz w:val="18"/>
                <w:szCs w:val="18"/>
                <w:lang w:val="es-ES_tradnl"/>
              </w:rPr>
            </w:pPr>
            <w:r w:rsidRPr="006B0D63">
              <w:rPr>
                <w:rFonts w:ascii="Arial" w:hAnsi="Arial" w:cs="Arial"/>
                <w:sz w:val="18"/>
                <w:szCs w:val="18"/>
                <w:lang w:val="es-ES_tradnl"/>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B4C6E7" w:themeFill="accent1" w:themeFillTint="66"/>
            <w:vAlign w:val="center"/>
          </w:tcPr>
          <w:p w14:paraId="488310A8" w14:textId="73D5768E" w:rsidR="00CC0D06" w:rsidRPr="006B0D63" w:rsidRDefault="00CC0D06" w:rsidP="0059431E">
            <w:pPr>
              <w:autoSpaceDE w:val="0"/>
              <w:autoSpaceDN w:val="0"/>
              <w:adjustRightInd w:val="0"/>
              <w:jc w:val="center"/>
              <w:rPr>
                <w:rFonts w:ascii="Arial" w:hAnsi="Arial" w:cs="Arial"/>
                <w:b w:val="0"/>
                <w:bCs w:val="0"/>
                <w:sz w:val="18"/>
                <w:szCs w:val="18"/>
                <w:lang w:val="es-ES_tradnl"/>
              </w:rPr>
            </w:pPr>
            <w:r w:rsidRPr="006B0D63">
              <w:rPr>
                <w:rFonts w:ascii="Arial" w:hAnsi="Arial" w:cs="Arial"/>
                <w:b w:val="0"/>
                <w:bCs w:val="0"/>
                <w:sz w:val="18"/>
                <w:szCs w:val="18"/>
                <w:lang w:val="es-ES_tradnl"/>
              </w:rPr>
              <w:t>1</w:t>
            </w:r>
          </w:p>
        </w:tc>
      </w:tr>
    </w:tbl>
    <w:p w14:paraId="0E53343F" w14:textId="77777777" w:rsidR="00872E68" w:rsidRPr="009E31A5" w:rsidRDefault="00872E68" w:rsidP="00320AC6">
      <w:pPr>
        <w:widowControl w:val="0"/>
        <w:overflowPunct w:val="0"/>
        <w:autoSpaceDE w:val="0"/>
        <w:autoSpaceDN w:val="0"/>
        <w:adjustRightInd w:val="0"/>
        <w:jc w:val="both"/>
        <w:textAlignment w:val="baseline"/>
        <w:rPr>
          <w:rFonts w:ascii="Arial" w:hAnsi="Arial" w:cs="Arial"/>
          <w:b/>
          <w:iCs/>
          <w:color w:val="000000"/>
          <w:sz w:val="20"/>
        </w:rPr>
      </w:pPr>
    </w:p>
    <w:p w14:paraId="2B8BFEBD" w14:textId="7B06722F" w:rsidR="00EB16A7" w:rsidRPr="009E31A5" w:rsidRDefault="00EB16A7" w:rsidP="00B4367A">
      <w:pPr>
        <w:numPr>
          <w:ilvl w:val="1"/>
          <w:numId w:val="12"/>
        </w:numPr>
        <w:jc w:val="both"/>
        <w:rPr>
          <w:rFonts w:ascii="Arial" w:hAnsi="Arial" w:cs="Arial"/>
          <w:b/>
          <w:iCs/>
          <w:color w:val="000000"/>
          <w:sz w:val="22"/>
          <w:szCs w:val="22"/>
          <w:lang w:eastAsia="es-MX"/>
        </w:rPr>
      </w:pPr>
      <w:r w:rsidRPr="009E31A5">
        <w:rPr>
          <w:rFonts w:ascii="Arial" w:hAnsi="Arial" w:cs="Arial"/>
          <w:b/>
          <w:iCs/>
          <w:color w:val="000000"/>
          <w:sz w:val="22"/>
          <w:szCs w:val="22"/>
        </w:rPr>
        <w:t>Efectividad de las acciones:</w:t>
      </w:r>
    </w:p>
    <w:p w14:paraId="34B874AD" w14:textId="77777777" w:rsidR="00EB16A7" w:rsidRPr="009E31A5" w:rsidRDefault="00EB16A7" w:rsidP="00EB16A7">
      <w:pPr>
        <w:jc w:val="both"/>
        <w:rPr>
          <w:rFonts w:ascii="Arial" w:hAnsi="Arial" w:cs="Arial"/>
          <w:iCs/>
          <w:color w:val="000000"/>
          <w:sz w:val="22"/>
          <w:szCs w:val="22"/>
          <w:lang w:eastAsia="es-MX"/>
        </w:rPr>
      </w:pPr>
    </w:p>
    <w:p w14:paraId="05C4F631" w14:textId="361EFFC9" w:rsidR="00437C01" w:rsidRDefault="00D1214B" w:rsidP="00D1214B">
      <w:pPr>
        <w:shd w:val="clear" w:color="auto" w:fill="FFFFFF"/>
        <w:jc w:val="both"/>
        <w:rPr>
          <w:rFonts w:ascii="Arial" w:eastAsia="Times New Roman" w:hAnsi="Arial" w:cs="Arial"/>
          <w:color w:val="000000"/>
          <w:sz w:val="22"/>
          <w:szCs w:val="22"/>
        </w:rPr>
      </w:pPr>
      <w:r w:rsidRPr="008950F5">
        <w:rPr>
          <w:rFonts w:ascii="Arial" w:hAnsi="Arial" w:cs="Arial"/>
          <w:color w:val="000000"/>
          <w:sz w:val="22"/>
          <w:szCs w:val="22"/>
          <w:lang w:eastAsia="es-MX"/>
        </w:rPr>
        <w:t>En el presente seguimiento con corte 3</w:t>
      </w:r>
      <w:r w:rsidR="00437C01" w:rsidRPr="008950F5">
        <w:rPr>
          <w:rFonts w:ascii="Arial" w:hAnsi="Arial" w:cs="Arial"/>
          <w:color w:val="000000"/>
          <w:sz w:val="22"/>
          <w:szCs w:val="22"/>
          <w:lang w:eastAsia="es-MX"/>
        </w:rPr>
        <w:t xml:space="preserve">0 de junio de 2022 </w:t>
      </w:r>
      <w:r w:rsidR="002D1D19" w:rsidRPr="008950F5">
        <w:rPr>
          <w:rFonts w:ascii="Arial" w:eastAsia="Times New Roman" w:hAnsi="Arial" w:cs="Arial"/>
          <w:color w:val="000000"/>
          <w:sz w:val="22"/>
          <w:szCs w:val="22"/>
        </w:rPr>
        <w:t xml:space="preserve">a una muestra de </w:t>
      </w:r>
      <w:r w:rsidR="008950F5" w:rsidRPr="008950F5">
        <w:rPr>
          <w:rFonts w:ascii="Arial" w:eastAsia="Times New Roman" w:hAnsi="Arial" w:cs="Arial"/>
          <w:color w:val="000000"/>
          <w:sz w:val="22"/>
          <w:szCs w:val="22"/>
        </w:rPr>
        <w:t>34 hallazgos del Plan de Mejoramiento vigente, se estableció un 8</w:t>
      </w:r>
      <w:r w:rsidR="00A74956">
        <w:rPr>
          <w:rFonts w:ascii="Arial" w:eastAsia="Times New Roman" w:hAnsi="Arial" w:cs="Arial"/>
          <w:color w:val="000000"/>
          <w:sz w:val="22"/>
          <w:szCs w:val="22"/>
        </w:rPr>
        <w:t>8</w:t>
      </w:r>
      <w:r w:rsidR="008950F5" w:rsidRPr="008950F5">
        <w:rPr>
          <w:rFonts w:ascii="Arial" w:eastAsia="Times New Roman" w:hAnsi="Arial" w:cs="Arial"/>
          <w:color w:val="000000"/>
          <w:sz w:val="22"/>
          <w:szCs w:val="22"/>
        </w:rPr>
        <w:t>,</w:t>
      </w:r>
      <w:r w:rsidR="00A74956">
        <w:rPr>
          <w:rFonts w:ascii="Arial" w:eastAsia="Times New Roman" w:hAnsi="Arial" w:cs="Arial"/>
          <w:color w:val="000000"/>
          <w:sz w:val="22"/>
          <w:szCs w:val="22"/>
        </w:rPr>
        <w:t>24</w:t>
      </w:r>
      <w:r w:rsidR="008950F5" w:rsidRPr="008950F5">
        <w:rPr>
          <w:rFonts w:ascii="Arial" w:eastAsia="Times New Roman" w:hAnsi="Arial" w:cs="Arial"/>
          <w:color w:val="000000"/>
          <w:sz w:val="22"/>
          <w:szCs w:val="22"/>
        </w:rPr>
        <w:t xml:space="preserve">% de efectividad, lo que indica que las acciones implementadas para </w:t>
      </w:r>
      <w:r w:rsidR="00A74956">
        <w:rPr>
          <w:rFonts w:ascii="Arial" w:eastAsia="Times New Roman" w:hAnsi="Arial" w:cs="Arial"/>
          <w:color w:val="000000"/>
          <w:sz w:val="22"/>
          <w:szCs w:val="22"/>
        </w:rPr>
        <w:t>30</w:t>
      </w:r>
      <w:r w:rsidR="008950F5" w:rsidRPr="008950F5">
        <w:rPr>
          <w:rFonts w:ascii="Arial" w:eastAsia="Times New Roman" w:hAnsi="Arial" w:cs="Arial"/>
          <w:color w:val="000000"/>
          <w:sz w:val="22"/>
          <w:szCs w:val="22"/>
        </w:rPr>
        <w:t xml:space="preserve"> hallazgos han sido efectivas.</w:t>
      </w:r>
    </w:p>
    <w:p w14:paraId="6D7234D9" w14:textId="77777777" w:rsidR="008950F5" w:rsidRPr="00CC0D06" w:rsidRDefault="008950F5" w:rsidP="00D1214B">
      <w:pPr>
        <w:shd w:val="clear" w:color="auto" w:fill="FFFFFF"/>
        <w:jc w:val="both"/>
        <w:rPr>
          <w:rFonts w:ascii="Arial" w:eastAsia="Times New Roman" w:hAnsi="Arial" w:cs="Arial"/>
          <w:color w:val="000000"/>
          <w:sz w:val="22"/>
          <w:szCs w:val="22"/>
          <w:highlight w:val="yellow"/>
        </w:rPr>
      </w:pPr>
    </w:p>
    <w:p w14:paraId="789ADE5B" w14:textId="0782F45B" w:rsidR="00437C01" w:rsidRPr="009E31A5" w:rsidRDefault="00437C01" w:rsidP="00D1214B">
      <w:pPr>
        <w:shd w:val="clear" w:color="auto" w:fill="FFFFFF"/>
        <w:jc w:val="both"/>
        <w:rPr>
          <w:rFonts w:ascii="Arial" w:eastAsia="Times New Roman" w:hAnsi="Arial" w:cs="Arial"/>
          <w:color w:val="000000"/>
          <w:sz w:val="22"/>
          <w:szCs w:val="22"/>
        </w:rPr>
      </w:pPr>
      <w:r w:rsidRPr="00044499">
        <w:rPr>
          <w:rFonts w:ascii="Arial" w:eastAsia="Times New Roman" w:hAnsi="Arial" w:cs="Arial"/>
          <w:color w:val="000000"/>
          <w:sz w:val="22"/>
          <w:szCs w:val="22"/>
        </w:rPr>
        <w:t>Lo anterior, surge de los resultados de los informes realizad</w:t>
      </w:r>
      <w:r w:rsidR="00AB4E0C">
        <w:rPr>
          <w:rFonts w:ascii="Arial" w:eastAsia="Times New Roman" w:hAnsi="Arial" w:cs="Arial"/>
          <w:color w:val="000000"/>
          <w:sz w:val="22"/>
          <w:szCs w:val="22"/>
        </w:rPr>
        <w:t>o</w:t>
      </w:r>
      <w:r w:rsidR="002D1D19" w:rsidRPr="00044499">
        <w:rPr>
          <w:rFonts w:ascii="Arial" w:eastAsia="Times New Roman" w:hAnsi="Arial" w:cs="Arial"/>
          <w:color w:val="000000"/>
          <w:sz w:val="22"/>
          <w:szCs w:val="22"/>
        </w:rPr>
        <w:t>s</w:t>
      </w:r>
      <w:r w:rsidRPr="00044499">
        <w:rPr>
          <w:rFonts w:ascii="Arial" w:eastAsia="Times New Roman" w:hAnsi="Arial" w:cs="Arial"/>
          <w:color w:val="000000"/>
          <w:sz w:val="22"/>
          <w:szCs w:val="22"/>
        </w:rPr>
        <w:t xml:space="preserve"> </w:t>
      </w:r>
      <w:r w:rsidR="00AB4E0C">
        <w:rPr>
          <w:rFonts w:ascii="Arial" w:eastAsia="Times New Roman" w:hAnsi="Arial" w:cs="Arial"/>
          <w:color w:val="000000"/>
          <w:sz w:val="22"/>
          <w:szCs w:val="22"/>
        </w:rPr>
        <w:t xml:space="preserve">por la Dirección de Control Interno </w:t>
      </w:r>
      <w:r w:rsidRPr="00044499">
        <w:rPr>
          <w:rFonts w:ascii="Arial" w:eastAsia="Times New Roman" w:hAnsi="Arial" w:cs="Arial"/>
          <w:color w:val="000000"/>
          <w:sz w:val="22"/>
          <w:szCs w:val="22"/>
        </w:rPr>
        <w:t xml:space="preserve">durante el </w:t>
      </w:r>
      <w:r w:rsidR="002D1D19" w:rsidRPr="00044499">
        <w:rPr>
          <w:rFonts w:ascii="Arial" w:eastAsia="Times New Roman" w:hAnsi="Arial" w:cs="Arial"/>
          <w:color w:val="000000"/>
          <w:sz w:val="22"/>
          <w:szCs w:val="22"/>
        </w:rPr>
        <w:t>segundo</w:t>
      </w:r>
      <w:r w:rsidRPr="00044499">
        <w:rPr>
          <w:rFonts w:ascii="Arial" w:eastAsia="Times New Roman" w:hAnsi="Arial" w:cs="Arial"/>
          <w:color w:val="000000"/>
          <w:sz w:val="22"/>
          <w:szCs w:val="22"/>
        </w:rPr>
        <w:t xml:space="preserve"> semestre de 2022</w:t>
      </w:r>
      <w:r w:rsidR="00CB18CE" w:rsidRPr="00044499">
        <w:rPr>
          <w:rFonts w:ascii="Arial" w:eastAsia="Times New Roman" w:hAnsi="Arial" w:cs="Arial"/>
          <w:color w:val="000000"/>
          <w:sz w:val="22"/>
          <w:szCs w:val="22"/>
        </w:rPr>
        <w:t xml:space="preserve">, sobre: </w:t>
      </w:r>
      <w:r w:rsidR="002D1D19" w:rsidRPr="00044499">
        <w:rPr>
          <w:rFonts w:ascii="Arial" w:eastAsia="Times New Roman" w:hAnsi="Arial" w:cs="Arial"/>
          <w:color w:val="000000"/>
          <w:sz w:val="22"/>
          <w:szCs w:val="22"/>
        </w:rPr>
        <w:t xml:space="preserve">Verificación </w:t>
      </w:r>
      <w:r w:rsidR="00CF06CE">
        <w:rPr>
          <w:rFonts w:ascii="Arial" w:eastAsia="Times New Roman" w:hAnsi="Arial" w:cs="Arial"/>
          <w:color w:val="000000"/>
          <w:sz w:val="22"/>
          <w:szCs w:val="22"/>
        </w:rPr>
        <w:t>i</w:t>
      </w:r>
      <w:r w:rsidR="002D1D19" w:rsidRPr="00044499">
        <w:rPr>
          <w:rFonts w:ascii="Arial" w:eastAsia="Times New Roman" w:hAnsi="Arial" w:cs="Arial"/>
          <w:color w:val="000000"/>
          <w:sz w:val="22"/>
          <w:szCs w:val="22"/>
        </w:rPr>
        <w:t>mpacto ambiental en los patios únicos de automotores</w:t>
      </w:r>
      <w:r w:rsidR="00CB18CE" w:rsidRPr="00044499">
        <w:rPr>
          <w:rFonts w:ascii="Arial" w:eastAsia="Times New Roman" w:hAnsi="Arial" w:cs="Arial"/>
          <w:color w:val="000000"/>
          <w:sz w:val="22"/>
          <w:szCs w:val="22"/>
        </w:rPr>
        <w:t>; y primer semestre de 2023 sobre: Evaluación Anual del Control Interno Contable 2022 y Auditorías Combinadas a los Procesos de Financiera, Gestión de Bienes, Gestión del Talento Humano</w:t>
      </w:r>
      <w:r w:rsidR="00A74956">
        <w:rPr>
          <w:rFonts w:ascii="Arial" w:eastAsia="Times New Roman" w:hAnsi="Arial" w:cs="Arial"/>
          <w:color w:val="000000"/>
          <w:sz w:val="22"/>
          <w:szCs w:val="22"/>
        </w:rPr>
        <w:t>, Gestión Contractual</w:t>
      </w:r>
      <w:r w:rsidR="00CB18CE" w:rsidRPr="00044499">
        <w:rPr>
          <w:rFonts w:ascii="Arial" w:eastAsia="Times New Roman" w:hAnsi="Arial" w:cs="Arial"/>
          <w:color w:val="000000"/>
          <w:sz w:val="22"/>
          <w:szCs w:val="22"/>
        </w:rPr>
        <w:t xml:space="preserve">, </w:t>
      </w:r>
      <w:r w:rsidR="00B86368">
        <w:rPr>
          <w:rFonts w:ascii="Arial" w:eastAsia="Times New Roman" w:hAnsi="Arial" w:cs="Arial"/>
          <w:color w:val="000000"/>
          <w:sz w:val="22"/>
          <w:szCs w:val="22"/>
        </w:rPr>
        <w:t>sumad</w:t>
      </w:r>
      <w:r w:rsidR="00A74956">
        <w:rPr>
          <w:rFonts w:ascii="Arial" w:eastAsia="Times New Roman" w:hAnsi="Arial" w:cs="Arial"/>
          <w:color w:val="000000"/>
          <w:sz w:val="22"/>
          <w:szCs w:val="22"/>
        </w:rPr>
        <w:t>as</w:t>
      </w:r>
      <w:r w:rsidR="00B86368">
        <w:rPr>
          <w:rFonts w:ascii="Arial" w:eastAsia="Times New Roman" w:hAnsi="Arial" w:cs="Arial"/>
          <w:color w:val="000000"/>
          <w:sz w:val="22"/>
          <w:szCs w:val="22"/>
        </w:rPr>
        <w:t xml:space="preserve"> a la</w:t>
      </w:r>
      <w:r w:rsidR="00CB18CE" w:rsidRPr="00044499">
        <w:rPr>
          <w:rFonts w:ascii="Arial" w:eastAsia="Times New Roman" w:hAnsi="Arial" w:cs="Arial"/>
          <w:color w:val="000000"/>
          <w:sz w:val="22"/>
          <w:szCs w:val="22"/>
        </w:rPr>
        <w:t xml:space="preserve"> Auditoría Financiera </w:t>
      </w:r>
      <w:r w:rsidR="00B86368">
        <w:rPr>
          <w:rFonts w:ascii="Arial" w:eastAsia="Times New Roman" w:hAnsi="Arial" w:cs="Arial"/>
          <w:color w:val="000000"/>
          <w:sz w:val="22"/>
          <w:szCs w:val="22"/>
        </w:rPr>
        <w:t xml:space="preserve">realizada por la Contraloría General de la República </w:t>
      </w:r>
      <w:r w:rsidR="00CB18CE" w:rsidRPr="00044499">
        <w:rPr>
          <w:rFonts w:ascii="Arial" w:eastAsia="Times New Roman" w:hAnsi="Arial" w:cs="Arial"/>
          <w:color w:val="000000"/>
          <w:sz w:val="22"/>
          <w:szCs w:val="22"/>
        </w:rPr>
        <w:t>a la vigencia 2022</w:t>
      </w:r>
      <w:r w:rsidR="00044499" w:rsidRPr="00044499">
        <w:rPr>
          <w:rFonts w:ascii="Arial" w:eastAsia="Times New Roman" w:hAnsi="Arial" w:cs="Arial"/>
          <w:color w:val="000000"/>
          <w:sz w:val="22"/>
          <w:szCs w:val="22"/>
        </w:rPr>
        <w:t xml:space="preserve">, actividades en las cuales no se establecieron recurrencias en los temas </w:t>
      </w:r>
      <w:r w:rsidR="00A74956">
        <w:rPr>
          <w:rFonts w:ascii="Arial" w:eastAsia="Times New Roman" w:hAnsi="Arial" w:cs="Arial"/>
          <w:color w:val="000000"/>
          <w:sz w:val="22"/>
          <w:szCs w:val="22"/>
        </w:rPr>
        <w:t xml:space="preserve">objeto de </w:t>
      </w:r>
      <w:r w:rsidR="00CF06CE">
        <w:rPr>
          <w:rFonts w:ascii="Arial" w:eastAsia="Times New Roman" w:hAnsi="Arial" w:cs="Arial"/>
          <w:color w:val="000000"/>
          <w:sz w:val="22"/>
          <w:szCs w:val="22"/>
        </w:rPr>
        <w:t xml:space="preserve">seguimiento porque </w:t>
      </w:r>
      <w:r w:rsidR="00A74956">
        <w:rPr>
          <w:rFonts w:ascii="Arial" w:eastAsia="Times New Roman" w:hAnsi="Arial" w:cs="Arial"/>
          <w:color w:val="000000"/>
          <w:sz w:val="22"/>
          <w:szCs w:val="22"/>
        </w:rPr>
        <w:t xml:space="preserve">fueron </w:t>
      </w:r>
      <w:r w:rsidR="00CF06CE">
        <w:rPr>
          <w:rFonts w:ascii="Arial" w:eastAsia="Times New Roman" w:hAnsi="Arial" w:cs="Arial"/>
          <w:color w:val="000000"/>
          <w:sz w:val="22"/>
          <w:szCs w:val="22"/>
        </w:rPr>
        <w:t xml:space="preserve">corregidos y </w:t>
      </w:r>
      <w:r w:rsidR="00A74956">
        <w:rPr>
          <w:rFonts w:ascii="Arial" w:eastAsia="Times New Roman" w:hAnsi="Arial" w:cs="Arial"/>
          <w:color w:val="000000"/>
          <w:sz w:val="22"/>
          <w:szCs w:val="22"/>
        </w:rPr>
        <w:t xml:space="preserve">subsanados </w:t>
      </w:r>
      <w:r w:rsidR="00B86368">
        <w:rPr>
          <w:rFonts w:ascii="Arial" w:eastAsia="Times New Roman" w:hAnsi="Arial" w:cs="Arial"/>
          <w:color w:val="000000"/>
          <w:sz w:val="22"/>
          <w:szCs w:val="22"/>
        </w:rPr>
        <w:t xml:space="preserve">con </w:t>
      </w:r>
      <w:r w:rsidR="00044499" w:rsidRPr="00044499">
        <w:rPr>
          <w:rFonts w:ascii="Arial" w:eastAsia="Times New Roman" w:hAnsi="Arial" w:cs="Arial"/>
          <w:color w:val="000000"/>
          <w:sz w:val="22"/>
          <w:szCs w:val="22"/>
        </w:rPr>
        <w:t>la implementación de acciones de mejoramiento efectivas.</w:t>
      </w:r>
      <w:r w:rsidR="00044499">
        <w:rPr>
          <w:rFonts w:ascii="Arial" w:eastAsia="Times New Roman" w:hAnsi="Arial" w:cs="Arial"/>
          <w:color w:val="000000"/>
          <w:sz w:val="22"/>
          <w:szCs w:val="22"/>
        </w:rPr>
        <w:t xml:space="preserve"> </w:t>
      </w:r>
    </w:p>
    <w:p w14:paraId="27696A3D" w14:textId="77777777" w:rsidR="002D1D19" w:rsidRDefault="002D1D19" w:rsidP="00D1214B">
      <w:pPr>
        <w:shd w:val="clear" w:color="auto" w:fill="FFFFFF"/>
        <w:jc w:val="both"/>
        <w:rPr>
          <w:rFonts w:ascii="Arial" w:eastAsia="Times New Roman" w:hAnsi="Arial" w:cs="Arial"/>
          <w:color w:val="000000"/>
          <w:sz w:val="22"/>
          <w:szCs w:val="22"/>
        </w:rPr>
      </w:pPr>
    </w:p>
    <w:p w14:paraId="6DDF8C85" w14:textId="7BA94150" w:rsidR="003A49D7" w:rsidRPr="009E31A5" w:rsidRDefault="003A49D7" w:rsidP="00C31601">
      <w:pPr>
        <w:rPr>
          <w:rFonts w:ascii="Arial" w:hAnsi="Arial" w:cs="Arial"/>
        </w:rPr>
      </w:pPr>
      <w:r w:rsidRPr="009E31A5">
        <w:rPr>
          <w:rFonts w:ascii="Arial" w:hAnsi="Arial" w:cs="Arial"/>
          <w:b/>
          <w:bCs/>
          <w:sz w:val="22"/>
          <w:szCs w:val="22"/>
        </w:rPr>
        <w:t xml:space="preserve">6. REPORTE EN SIRECI </w:t>
      </w:r>
    </w:p>
    <w:p w14:paraId="6714B6FF" w14:textId="77777777" w:rsidR="00DB3193" w:rsidRPr="009E31A5" w:rsidRDefault="00DB3193" w:rsidP="00C31601">
      <w:pPr>
        <w:rPr>
          <w:rFonts w:ascii="Arial" w:hAnsi="Arial" w:cs="Arial"/>
          <w:b/>
          <w:bCs/>
          <w:i/>
          <w:iCs/>
          <w:sz w:val="22"/>
          <w:szCs w:val="22"/>
        </w:rPr>
      </w:pPr>
    </w:p>
    <w:p w14:paraId="341EAF65" w14:textId="096452A9" w:rsidR="003A49D7" w:rsidRPr="009E31A5" w:rsidRDefault="00716BE3" w:rsidP="00C31601">
      <w:pPr>
        <w:rPr>
          <w:rFonts w:ascii="Arial" w:hAnsi="Arial" w:cs="Arial"/>
        </w:rPr>
      </w:pPr>
      <w:r w:rsidRPr="009E31A5">
        <w:rPr>
          <w:rFonts w:ascii="Arial" w:hAnsi="Arial" w:cs="Arial"/>
          <w:b/>
          <w:bCs/>
          <w:i/>
          <w:iCs/>
          <w:sz w:val="22"/>
          <w:szCs w:val="22"/>
        </w:rPr>
        <w:t>Transmisión Seguimiento</w:t>
      </w:r>
      <w:r w:rsidR="003A49D7" w:rsidRPr="009E31A5">
        <w:rPr>
          <w:rFonts w:ascii="Arial" w:hAnsi="Arial" w:cs="Arial"/>
          <w:b/>
          <w:bCs/>
          <w:i/>
          <w:iCs/>
          <w:sz w:val="22"/>
          <w:szCs w:val="22"/>
        </w:rPr>
        <w:t xml:space="preserve"> Plan de Mejoramiento </w:t>
      </w:r>
      <w:r w:rsidRPr="009E31A5">
        <w:rPr>
          <w:rFonts w:ascii="Arial" w:hAnsi="Arial" w:cs="Arial"/>
          <w:b/>
          <w:bCs/>
          <w:i/>
          <w:iCs/>
          <w:sz w:val="22"/>
          <w:szCs w:val="22"/>
        </w:rPr>
        <w:t xml:space="preserve">a </w:t>
      </w:r>
      <w:r w:rsidR="00CC0D06">
        <w:rPr>
          <w:rFonts w:ascii="Arial" w:hAnsi="Arial" w:cs="Arial"/>
          <w:b/>
          <w:bCs/>
          <w:i/>
          <w:iCs/>
          <w:sz w:val="22"/>
          <w:szCs w:val="22"/>
        </w:rPr>
        <w:t>30-06-2022</w:t>
      </w:r>
      <w:r w:rsidR="003A49D7" w:rsidRPr="009E31A5">
        <w:rPr>
          <w:rFonts w:ascii="Arial" w:hAnsi="Arial" w:cs="Arial"/>
          <w:b/>
          <w:bCs/>
          <w:i/>
          <w:iCs/>
          <w:sz w:val="22"/>
          <w:szCs w:val="22"/>
        </w:rPr>
        <w:t xml:space="preserve">. </w:t>
      </w:r>
    </w:p>
    <w:p w14:paraId="19C8B527" w14:textId="77777777" w:rsidR="00DB3193" w:rsidRPr="009E31A5" w:rsidRDefault="00DB3193" w:rsidP="00C31601">
      <w:pPr>
        <w:jc w:val="both"/>
        <w:rPr>
          <w:rFonts w:ascii="Arial" w:hAnsi="Arial" w:cs="Arial"/>
          <w:sz w:val="22"/>
          <w:szCs w:val="22"/>
        </w:rPr>
      </w:pPr>
    </w:p>
    <w:p w14:paraId="295F003E" w14:textId="125B3F8D" w:rsidR="00DB3193" w:rsidRDefault="003A49D7" w:rsidP="00C31601">
      <w:pPr>
        <w:jc w:val="both"/>
        <w:rPr>
          <w:rFonts w:ascii="Arial" w:hAnsi="Arial" w:cs="Arial"/>
          <w:sz w:val="22"/>
          <w:szCs w:val="22"/>
        </w:rPr>
      </w:pPr>
      <w:r w:rsidRPr="005016DF">
        <w:rPr>
          <w:rFonts w:ascii="Arial" w:hAnsi="Arial" w:cs="Arial"/>
          <w:sz w:val="22"/>
          <w:szCs w:val="22"/>
        </w:rPr>
        <w:t xml:space="preserve">El </w:t>
      </w:r>
      <w:r w:rsidR="00CC231C" w:rsidRPr="005016DF">
        <w:rPr>
          <w:rFonts w:ascii="Arial" w:hAnsi="Arial" w:cs="Arial"/>
          <w:sz w:val="22"/>
          <w:szCs w:val="22"/>
        </w:rPr>
        <w:t>2</w:t>
      </w:r>
      <w:r w:rsidR="005016DF" w:rsidRPr="005016DF">
        <w:rPr>
          <w:rFonts w:ascii="Arial" w:hAnsi="Arial" w:cs="Arial"/>
          <w:sz w:val="22"/>
          <w:szCs w:val="22"/>
        </w:rPr>
        <w:t xml:space="preserve">5 </w:t>
      </w:r>
      <w:r w:rsidRPr="005016DF">
        <w:rPr>
          <w:rFonts w:ascii="Arial" w:hAnsi="Arial" w:cs="Arial"/>
          <w:sz w:val="22"/>
          <w:szCs w:val="22"/>
        </w:rPr>
        <w:t xml:space="preserve">de </w:t>
      </w:r>
      <w:r w:rsidR="005016DF" w:rsidRPr="005016DF">
        <w:rPr>
          <w:rFonts w:ascii="Arial" w:hAnsi="Arial" w:cs="Arial"/>
          <w:sz w:val="22"/>
          <w:szCs w:val="22"/>
        </w:rPr>
        <w:t xml:space="preserve">julio </w:t>
      </w:r>
      <w:r w:rsidRPr="005016DF">
        <w:rPr>
          <w:rFonts w:ascii="Arial" w:hAnsi="Arial" w:cs="Arial"/>
          <w:sz w:val="22"/>
          <w:szCs w:val="22"/>
        </w:rPr>
        <w:t>de 202</w:t>
      </w:r>
      <w:r w:rsidR="002D1D19" w:rsidRPr="005016DF">
        <w:rPr>
          <w:rFonts w:ascii="Arial" w:hAnsi="Arial" w:cs="Arial"/>
          <w:sz w:val="22"/>
          <w:szCs w:val="22"/>
        </w:rPr>
        <w:t>3</w:t>
      </w:r>
      <w:r w:rsidRPr="005016DF">
        <w:rPr>
          <w:rFonts w:ascii="Arial" w:hAnsi="Arial" w:cs="Arial"/>
          <w:sz w:val="22"/>
          <w:szCs w:val="22"/>
        </w:rPr>
        <w:t xml:space="preserve"> se </w:t>
      </w:r>
      <w:r w:rsidR="00894567" w:rsidRPr="005016DF">
        <w:rPr>
          <w:rFonts w:ascii="Arial" w:hAnsi="Arial" w:cs="Arial"/>
          <w:sz w:val="22"/>
          <w:szCs w:val="22"/>
        </w:rPr>
        <w:t>transmitió</w:t>
      </w:r>
      <w:r w:rsidRPr="005016DF">
        <w:rPr>
          <w:rFonts w:ascii="Arial" w:hAnsi="Arial" w:cs="Arial"/>
          <w:sz w:val="22"/>
          <w:szCs w:val="22"/>
        </w:rPr>
        <w:t xml:space="preserve">́ a </w:t>
      </w:r>
      <w:r w:rsidR="00894567" w:rsidRPr="005016DF">
        <w:rPr>
          <w:rFonts w:ascii="Arial" w:hAnsi="Arial" w:cs="Arial"/>
          <w:sz w:val="22"/>
          <w:szCs w:val="22"/>
        </w:rPr>
        <w:t>través</w:t>
      </w:r>
      <w:r w:rsidRPr="005016DF">
        <w:rPr>
          <w:rFonts w:ascii="Arial" w:hAnsi="Arial" w:cs="Arial"/>
          <w:sz w:val="22"/>
          <w:szCs w:val="22"/>
        </w:rPr>
        <w:t xml:space="preserve"> del SIRECI, el </w:t>
      </w:r>
      <w:r w:rsidR="00A864B1">
        <w:rPr>
          <w:rFonts w:ascii="Arial" w:hAnsi="Arial" w:cs="Arial"/>
          <w:sz w:val="22"/>
          <w:szCs w:val="22"/>
        </w:rPr>
        <w:t xml:space="preserve">seguimiento al </w:t>
      </w:r>
      <w:r w:rsidRPr="005016DF">
        <w:rPr>
          <w:rFonts w:ascii="Arial" w:hAnsi="Arial" w:cs="Arial"/>
          <w:sz w:val="22"/>
          <w:szCs w:val="22"/>
        </w:rPr>
        <w:t xml:space="preserve">plan de mejoramiento, tal como se evidencia en los siguientes soportes de la </w:t>
      </w:r>
      <w:r w:rsidR="00894567" w:rsidRPr="005016DF">
        <w:rPr>
          <w:rFonts w:ascii="Arial" w:hAnsi="Arial" w:cs="Arial"/>
          <w:sz w:val="22"/>
          <w:szCs w:val="22"/>
        </w:rPr>
        <w:t>remisión</w:t>
      </w:r>
      <w:r w:rsidRPr="005016DF">
        <w:rPr>
          <w:rFonts w:ascii="Arial" w:hAnsi="Arial" w:cs="Arial"/>
          <w:sz w:val="22"/>
          <w:szCs w:val="22"/>
        </w:rPr>
        <w:t>:</w:t>
      </w:r>
    </w:p>
    <w:p w14:paraId="5AC302FE" w14:textId="77777777" w:rsidR="005016DF" w:rsidRDefault="005016DF" w:rsidP="00C31601">
      <w:pPr>
        <w:jc w:val="both"/>
        <w:rPr>
          <w:rFonts w:ascii="Arial" w:hAnsi="Arial" w:cs="Arial"/>
          <w:sz w:val="22"/>
          <w:szCs w:val="22"/>
        </w:rPr>
      </w:pPr>
    </w:p>
    <w:p w14:paraId="4886144E" w14:textId="1758C66D" w:rsidR="005016DF" w:rsidRDefault="005016DF" w:rsidP="00C31601">
      <w:pPr>
        <w:jc w:val="both"/>
        <w:rPr>
          <w:noProof/>
        </w:rPr>
      </w:pPr>
      <w:r w:rsidRPr="00853EB6">
        <w:rPr>
          <w:noProof/>
          <w:bdr w:val="single" w:sz="18" w:space="0" w:color="auto"/>
          <w:lang w:val="en-US"/>
        </w:rPr>
        <w:drawing>
          <wp:inline distT="0" distB="0" distL="0" distR="0" wp14:anchorId="729199DC" wp14:editId="1EBFE3AF">
            <wp:extent cx="2611061" cy="1043045"/>
            <wp:effectExtent l="0" t="0" r="0" b="5080"/>
            <wp:docPr id="21992226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22265" name="Imagen 1" descr="Interfaz de usuario gráfica, Aplicación&#10;&#10;Descripción generada automáticamente"/>
                    <pic:cNvPicPr/>
                  </pic:nvPicPr>
                  <pic:blipFill rotWithShape="1">
                    <a:blip r:embed="rId9"/>
                    <a:srcRect l="37527" t="22446" r="37492" b="59813"/>
                    <a:stretch/>
                  </pic:blipFill>
                  <pic:spPr bwMode="auto">
                    <a:xfrm>
                      <a:off x="0" y="0"/>
                      <a:ext cx="2635647" cy="1052867"/>
                    </a:xfrm>
                    <a:prstGeom prst="rect">
                      <a:avLst/>
                    </a:prstGeom>
                    <a:ln>
                      <a:noFill/>
                    </a:ln>
                    <a:extLst>
                      <a:ext uri="{53640926-AAD7-44D8-BBD7-CCE9431645EC}">
                        <a14:shadowObscured xmlns:a14="http://schemas.microsoft.com/office/drawing/2010/main"/>
                      </a:ext>
                    </a:extLst>
                  </pic:spPr>
                </pic:pic>
              </a:graphicData>
            </a:graphic>
          </wp:inline>
        </w:drawing>
      </w:r>
      <w:r w:rsidR="009D0DDD">
        <w:rPr>
          <w:noProof/>
        </w:rPr>
        <w:t xml:space="preserve"> </w:t>
      </w:r>
      <w:r w:rsidRPr="00853EB6">
        <w:rPr>
          <w:noProof/>
          <w:bdr w:val="single" w:sz="18" w:space="0" w:color="auto"/>
          <w:lang w:val="en-US"/>
        </w:rPr>
        <w:drawing>
          <wp:inline distT="0" distB="0" distL="0" distR="0" wp14:anchorId="7040E76E" wp14:editId="7EC3AA75">
            <wp:extent cx="2554329" cy="1049824"/>
            <wp:effectExtent l="0" t="0" r="0" b="0"/>
            <wp:docPr id="179829279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92796" name="Imagen 1" descr="Interfaz de usuario gráfica, Aplicación&#10;&#10;Descripción generada automáticamente"/>
                    <pic:cNvPicPr/>
                  </pic:nvPicPr>
                  <pic:blipFill rotWithShape="1">
                    <a:blip r:embed="rId10"/>
                    <a:srcRect l="37435" t="22446" r="37398" b="59813"/>
                    <a:stretch/>
                  </pic:blipFill>
                  <pic:spPr bwMode="auto">
                    <a:xfrm>
                      <a:off x="0" y="0"/>
                      <a:ext cx="2574921" cy="1058287"/>
                    </a:xfrm>
                    <a:prstGeom prst="rect">
                      <a:avLst/>
                    </a:prstGeom>
                    <a:ln>
                      <a:noFill/>
                    </a:ln>
                    <a:extLst>
                      <a:ext uri="{53640926-AAD7-44D8-BBD7-CCE9431645EC}">
                        <a14:shadowObscured xmlns:a14="http://schemas.microsoft.com/office/drawing/2010/main"/>
                      </a:ext>
                    </a:extLst>
                  </pic:spPr>
                </pic:pic>
              </a:graphicData>
            </a:graphic>
          </wp:inline>
        </w:drawing>
      </w:r>
    </w:p>
    <w:p w14:paraId="7A7165A2" w14:textId="77777777" w:rsidR="00853EB6" w:rsidRDefault="00853EB6" w:rsidP="00C31601">
      <w:pPr>
        <w:jc w:val="both"/>
        <w:rPr>
          <w:rFonts w:ascii="Arial" w:hAnsi="Arial" w:cs="Arial"/>
          <w:sz w:val="22"/>
          <w:szCs w:val="22"/>
        </w:rPr>
      </w:pPr>
    </w:p>
    <w:p w14:paraId="1D33B0BD" w14:textId="5219F982" w:rsidR="009D0DDD" w:rsidRPr="009E31A5" w:rsidRDefault="009D0DDD" w:rsidP="00C31601">
      <w:pPr>
        <w:jc w:val="both"/>
        <w:rPr>
          <w:rFonts w:ascii="Arial" w:hAnsi="Arial" w:cs="Arial"/>
          <w:sz w:val="22"/>
          <w:szCs w:val="22"/>
        </w:rPr>
      </w:pPr>
      <w:r w:rsidRPr="00853EB6">
        <w:rPr>
          <w:noProof/>
          <w:bdr w:val="single" w:sz="18" w:space="0" w:color="auto"/>
          <w:lang w:val="en-US"/>
        </w:rPr>
        <w:drawing>
          <wp:inline distT="0" distB="0" distL="0" distR="0" wp14:anchorId="75A796CA" wp14:editId="6B1A11CD">
            <wp:extent cx="2441924" cy="1366825"/>
            <wp:effectExtent l="0" t="0" r="0" b="5080"/>
            <wp:docPr id="24961522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15221" name="Imagen 1" descr="Interfaz de usuario gráfica, Aplicación&#10;&#10;Descripción generada automáticamente"/>
                    <pic:cNvPicPr/>
                  </pic:nvPicPr>
                  <pic:blipFill rotWithShape="1">
                    <a:blip r:embed="rId11"/>
                    <a:srcRect l="36562" t="34494" r="36682" b="38879"/>
                    <a:stretch/>
                  </pic:blipFill>
                  <pic:spPr bwMode="auto">
                    <a:xfrm>
                      <a:off x="0" y="0"/>
                      <a:ext cx="2461781" cy="1377939"/>
                    </a:xfrm>
                    <a:prstGeom prst="rect">
                      <a:avLst/>
                    </a:prstGeom>
                    <a:ln>
                      <a:noFill/>
                    </a:ln>
                    <a:extLst>
                      <a:ext uri="{53640926-AAD7-44D8-BBD7-CCE9431645EC}">
                        <a14:shadowObscured xmlns:a14="http://schemas.microsoft.com/office/drawing/2010/main"/>
                      </a:ext>
                    </a:extLst>
                  </pic:spPr>
                </pic:pic>
              </a:graphicData>
            </a:graphic>
          </wp:inline>
        </w:drawing>
      </w:r>
      <w:r w:rsidR="00853EB6">
        <w:rPr>
          <w:rFonts w:ascii="Arial" w:hAnsi="Arial" w:cs="Arial"/>
          <w:sz w:val="22"/>
          <w:szCs w:val="22"/>
        </w:rPr>
        <w:t xml:space="preserve">  </w:t>
      </w:r>
      <w:r w:rsidR="00853EB6" w:rsidRPr="00853EB6">
        <w:rPr>
          <w:noProof/>
          <w:bdr w:val="single" w:sz="18" w:space="0" w:color="auto"/>
          <w:lang w:val="en-US"/>
        </w:rPr>
        <w:drawing>
          <wp:inline distT="0" distB="0" distL="0" distR="0" wp14:anchorId="4985CE7C" wp14:editId="63CDDFF8">
            <wp:extent cx="2663279" cy="1358900"/>
            <wp:effectExtent l="0" t="0" r="3810" b="0"/>
            <wp:docPr id="768579856"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79856" name="Imagen 1" descr="Interfaz de usuario gráfica, Aplicación, Tabla&#10;&#10;Descripción generada automáticamente"/>
                    <pic:cNvPicPr/>
                  </pic:nvPicPr>
                  <pic:blipFill rotWithShape="1">
                    <a:blip r:embed="rId12"/>
                    <a:srcRect l="40437" t="41698" r="39960" b="46585"/>
                    <a:stretch/>
                  </pic:blipFill>
                  <pic:spPr bwMode="auto">
                    <a:xfrm>
                      <a:off x="0" y="0"/>
                      <a:ext cx="2695746" cy="1375466"/>
                    </a:xfrm>
                    <a:prstGeom prst="rect">
                      <a:avLst/>
                    </a:prstGeom>
                    <a:ln>
                      <a:noFill/>
                    </a:ln>
                    <a:extLst>
                      <a:ext uri="{53640926-AAD7-44D8-BBD7-CCE9431645EC}">
                        <a14:shadowObscured xmlns:a14="http://schemas.microsoft.com/office/drawing/2010/main"/>
                      </a:ext>
                    </a:extLst>
                  </pic:spPr>
                </pic:pic>
              </a:graphicData>
            </a:graphic>
          </wp:inline>
        </w:drawing>
      </w:r>
    </w:p>
    <w:p w14:paraId="632ECB85" w14:textId="1542A115" w:rsidR="00FE7D05" w:rsidRPr="009E31A5" w:rsidRDefault="00FE7D05" w:rsidP="00C31601">
      <w:pPr>
        <w:jc w:val="both"/>
        <w:rPr>
          <w:rFonts w:ascii="Arial" w:hAnsi="Arial" w:cs="Arial"/>
          <w:sz w:val="22"/>
          <w:szCs w:val="22"/>
        </w:rPr>
      </w:pPr>
    </w:p>
    <w:p w14:paraId="04D9D1BA" w14:textId="2A347512" w:rsidR="00AE66D0" w:rsidRDefault="00AE66D0" w:rsidP="00FE7D05">
      <w:pPr>
        <w:jc w:val="both"/>
        <w:rPr>
          <w:rFonts w:ascii="Arial" w:hAnsi="Arial" w:cs="Arial"/>
          <w:sz w:val="22"/>
          <w:szCs w:val="22"/>
        </w:rPr>
      </w:pPr>
      <w:r w:rsidRPr="009E31A5">
        <w:rPr>
          <w:rFonts w:ascii="Arial" w:hAnsi="Arial" w:cs="Arial"/>
          <w:sz w:val="22"/>
          <w:szCs w:val="22"/>
        </w:rPr>
        <w:t xml:space="preserve">Para este corte, </w:t>
      </w:r>
      <w:r w:rsidR="00FE7D05" w:rsidRPr="009E31A5">
        <w:rPr>
          <w:rFonts w:ascii="Arial" w:hAnsi="Arial" w:cs="Arial"/>
          <w:sz w:val="22"/>
          <w:szCs w:val="22"/>
        </w:rPr>
        <w:t>3</w:t>
      </w:r>
      <w:r w:rsidR="00853EB6">
        <w:rPr>
          <w:rFonts w:ascii="Arial" w:hAnsi="Arial" w:cs="Arial"/>
          <w:sz w:val="22"/>
          <w:szCs w:val="22"/>
        </w:rPr>
        <w:t>0</w:t>
      </w:r>
      <w:r w:rsidR="00FE7D05" w:rsidRPr="009E31A5">
        <w:rPr>
          <w:rFonts w:ascii="Arial" w:hAnsi="Arial" w:cs="Arial"/>
          <w:sz w:val="22"/>
          <w:szCs w:val="22"/>
        </w:rPr>
        <w:t xml:space="preserve"> de </w:t>
      </w:r>
      <w:r w:rsidR="00853EB6">
        <w:rPr>
          <w:rFonts w:ascii="Arial" w:hAnsi="Arial" w:cs="Arial"/>
          <w:sz w:val="22"/>
          <w:szCs w:val="22"/>
        </w:rPr>
        <w:t xml:space="preserve">junio </w:t>
      </w:r>
      <w:r w:rsidRPr="009E31A5">
        <w:rPr>
          <w:rFonts w:ascii="Arial" w:hAnsi="Arial" w:cs="Arial"/>
          <w:sz w:val="22"/>
          <w:szCs w:val="22"/>
        </w:rPr>
        <w:t>de 202</w:t>
      </w:r>
      <w:r w:rsidR="00853EB6">
        <w:rPr>
          <w:rFonts w:ascii="Arial" w:hAnsi="Arial" w:cs="Arial"/>
          <w:sz w:val="22"/>
          <w:szCs w:val="22"/>
        </w:rPr>
        <w:t>3</w:t>
      </w:r>
      <w:r w:rsidRPr="009E31A5">
        <w:rPr>
          <w:rFonts w:ascii="Arial" w:hAnsi="Arial" w:cs="Arial"/>
          <w:sz w:val="22"/>
          <w:szCs w:val="22"/>
        </w:rPr>
        <w:t>, el SIRECI tenía previsto como limite el 2</w:t>
      </w:r>
      <w:r w:rsidR="00853EB6">
        <w:rPr>
          <w:rFonts w:ascii="Arial" w:hAnsi="Arial" w:cs="Arial"/>
          <w:sz w:val="22"/>
          <w:szCs w:val="22"/>
        </w:rPr>
        <w:t>5</w:t>
      </w:r>
      <w:r w:rsidRPr="009E31A5">
        <w:rPr>
          <w:rFonts w:ascii="Arial" w:hAnsi="Arial" w:cs="Arial"/>
          <w:sz w:val="22"/>
          <w:szCs w:val="22"/>
        </w:rPr>
        <w:t xml:space="preserve"> de </w:t>
      </w:r>
      <w:r w:rsidR="00853EB6">
        <w:rPr>
          <w:rFonts w:ascii="Arial" w:hAnsi="Arial" w:cs="Arial"/>
          <w:sz w:val="22"/>
          <w:szCs w:val="22"/>
        </w:rPr>
        <w:t xml:space="preserve">julio </w:t>
      </w:r>
      <w:r w:rsidRPr="009E31A5">
        <w:rPr>
          <w:rFonts w:ascii="Arial" w:hAnsi="Arial" w:cs="Arial"/>
          <w:sz w:val="22"/>
          <w:szCs w:val="22"/>
        </w:rPr>
        <w:t>de 202</w:t>
      </w:r>
      <w:r w:rsidR="00853EB6">
        <w:rPr>
          <w:rFonts w:ascii="Arial" w:hAnsi="Arial" w:cs="Arial"/>
          <w:sz w:val="22"/>
          <w:szCs w:val="22"/>
        </w:rPr>
        <w:t>3</w:t>
      </w:r>
      <w:r w:rsidRPr="009E31A5">
        <w:rPr>
          <w:rFonts w:ascii="Arial" w:hAnsi="Arial" w:cs="Arial"/>
          <w:sz w:val="22"/>
          <w:szCs w:val="22"/>
        </w:rPr>
        <w:t xml:space="preserve"> para transmitir los resultados del seguimiento </w:t>
      </w:r>
      <w:r w:rsidR="00843F67">
        <w:rPr>
          <w:rFonts w:ascii="Arial" w:hAnsi="Arial" w:cs="Arial"/>
          <w:sz w:val="22"/>
          <w:szCs w:val="22"/>
        </w:rPr>
        <w:t xml:space="preserve">(Anexo 2) </w:t>
      </w:r>
      <w:r w:rsidRPr="009E31A5">
        <w:rPr>
          <w:rFonts w:ascii="Arial" w:hAnsi="Arial" w:cs="Arial"/>
          <w:sz w:val="22"/>
          <w:szCs w:val="22"/>
        </w:rPr>
        <w:t>al Plan de Mejoramiento fecha que fue cumplida como se observa en las siguientes imágenes.</w:t>
      </w:r>
    </w:p>
    <w:p w14:paraId="40E01CB7" w14:textId="77777777" w:rsidR="00853EB6" w:rsidRDefault="00853EB6" w:rsidP="00FE7D05">
      <w:pPr>
        <w:jc w:val="both"/>
        <w:rPr>
          <w:rFonts w:ascii="Arial" w:hAnsi="Arial" w:cs="Arial"/>
          <w:sz w:val="22"/>
          <w:szCs w:val="22"/>
        </w:rPr>
      </w:pPr>
    </w:p>
    <w:p w14:paraId="38DDC6B3" w14:textId="2F1C8B6F" w:rsidR="00853EB6" w:rsidRPr="009E31A5" w:rsidRDefault="00853EB6" w:rsidP="00FE7D05">
      <w:pPr>
        <w:jc w:val="both"/>
        <w:rPr>
          <w:rFonts w:ascii="Arial" w:hAnsi="Arial" w:cs="Arial"/>
          <w:sz w:val="22"/>
          <w:szCs w:val="22"/>
        </w:rPr>
      </w:pPr>
      <w:r w:rsidRPr="00853EB6">
        <w:rPr>
          <w:noProof/>
          <w:bdr w:val="single" w:sz="18" w:space="0" w:color="auto"/>
          <w:lang w:val="en-US"/>
        </w:rPr>
        <w:drawing>
          <wp:inline distT="0" distB="0" distL="0" distR="0" wp14:anchorId="751DE2F5" wp14:editId="515A1F44">
            <wp:extent cx="5335270" cy="869950"/>
            <wp:effectExtent l="0" t="0" r="0" b="6350"/>
            <wp:docPr id="118353113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31139" name="Imagen 1" descr="Interfaz de usuario gráfica, Texto, Aplicación, Correo electrónico&#10;&#10;Descripción generada automáticamente"/>
                    <pic:cNvPicPr/>
                  </pic:nvPicPr>
                  <pic:blipFill rotWithShape="1">
                    <a:blip r:embed="rId13"/>
                    <a:srcRect t="5695" b="77060"/>
                    <a:stretch/>
                  </pic:blipFill>
                  <pic:spPr bwMode="auto">
                    <a:xfrm>
                      <a:off x="0" y="0"/>
                      <a:ext cx="5342375" cy="871109"/>
                    </a:xfrm>
                    <a:prstGeom prst="rect">
                      <a:avLst/>
                    </a:prstGeom>
                    <a:ln>
                      <a:noFill/>
                    </a:ln>
                    <a:extLst>
                      <a:ext uri="{53640926-AAD7-44D8-BBD7-CCE9431645EC}">
                        <a14:shadowObscured xmlns:a14="http://schemas.microsoft.com/office/drawing/2010/main"/>
                      </a:ext>
                    </a:extLst>
                  </pic:spPr>
                </pic:pic>
              </a:graphicData>
            </a:graphic>
          </wp:inline>
        </w:drawing>
      </w:r>
    </w:p>
    <w:p w14:paraId="4CEEEBD3" w14:textId="489160BF" w:rsidR="00AE66D0" w:rsidRPr="009E31A5" w:rsidRDefault="00AE66D0" w:rsidP="00126749">
      <w:pPr>
        <w:jc w:val="center"/>
        <w:rPr>
          <w:rFonts w:ascii="Arial" w:hAnsi="Arial" w:cs="Arial"/>
          <w:color w:val="FF0000"/>
          <w:sz w:val="14"/>
          <w:szCs w:val="14"/>
        </w:rPr>
      </w:pPr>
    </w:p>
    <w:p w14:paraId="0C39679E" w14:textId="1274A907" w:rsidR="00FE7D05" w:rsidRPr="009E31A5" w:rsidRDefault="00853EB6" w:rsidP="00126749">
      <w:pPr>
        <w:jc w:val="center"/>
        <w:rPr>
          <w:rFonts w:ascii="Arial" w:hAnsi="Arial" w:cs="Arial"/>
          <w:color w:val="FF0000"/>
          <w:sz w:val="22"/>
          <w:szCs w:val="22"/>
        </w:rPr>
      </w:pPr>
      <w:r w:rsidRPr="00853EB6">
        <w:rPr>
          <w:noProof/>
          <w:bdr w:val="single" w:sz="18" w:space="0" w:color="auto"/>
          <w:lang w:val="en-US"/>
        </w:rPr>
        <w:drawing>
          <wp:inline distT="0" distB="0" distL="0" distR="0" wp14:anchorId="2085344E" wp14:editId="66B71641">
            <wp:extent cx="5329555" cy="1790700"/>
            <wp:effectExtent l="0" t="0" r="4445" b="0"/>
            <wp:docPr id="1829405343"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05343" name="Imagen 1" descr="Captura de pantalla de computadora&#10;&#10;Descripción generada automáticamente"/>
                    <pic:cNvPicPr/>
                  </pic:nvPicPr>
                  <pic:blipFill rotWithShape="1">
                    <a:blip r:embed="rId14"/>
                    <a:srcRect t="12726" b="33184"/>
                    <a:stretch/>
                  </pic:blipFill>
                  <pic:spPr bwMode="auto">
                    <a:xfrm>
                      <a:off x="0" y="0"/>
                      <a:ext cx="5331650" cy="1791404"/>
                    </a:xfrm>
                    <a:prstGeom prst="rect">
                      <a:avLst/>
                    </a:prstGeom>
                    <a:ln>
                      <a:noFill/>
                    </a:ln>
                    <a:extLst>
                      <a:ext uri="{53640926-AAD7-44D8-BBD7-CCE9431645EC}">
                        <a14:shadowObscured xmlns:a14="http://schemas.microsoft.com/office/drawing/2010/main"/>
                      </a:ext>
                    </a:extLst>
                  </pic:spPr>
                </pic:pic>
              </a:graphicData>
            </a:graphic>
          </wp:inline>
        </w:drawing>
      </w:r>
    </w:p>
    <w:p w14:paraId="7759BC15" w14:textId="77777777" w:rsidR="00FE7D05" w:rsidRPr="009E31A5" w:rsidRDefault="00FE7D05" w:rsidP="00126749">
      <w:pPr>
        <w:jc w:val="center"/>
        <w:rPr>
          <w:rFonts w:ascii="Arial" w:hAnsi="Arial" w:cs="Arial"/>
          <w:color w:val="FF0000"/>
          <w:sz w:val="14"/>
          <w:szCs w:val="14"/>
        </w:rPr>
      </w:pPr>
    </w:p>
    <w:p w14:paraId="6D569831" w14:textId="343CEA05" w:rsidR="003D5F78" w:rsidRPr="009E31A5" w:rsidRDefault="00853EB6" w:rsidP="00AE66D0">
      <w:pPr>
        <w:jc w:val="center"/>
        <w:rPr>
          <w:rFonts w:ascii="Arial" w:hAnsi="Arial" w:cs="Arial"/>
          <w:sz w:val="22"/>
          <w:szCs w:val="22"/>
        </w:rPr>
      </w:pPr>
      <w:r w:rsidRPr="00853EB6">
        <w:rPr>
          <w:noProof/>
          <w:bdr w:val="single" w:sz="18" w:space="0" w:color="auto"/>
          <w:lang w:val="en-US"/>
        </w:rPr>
        <w:lastRenderedPageBreak/>
        <w:drawing>
          <wp:inline distT="0" distB="0" distL="0" distR="0" wp14:anchorId="1FEA9AC2" wp14:editId="57470671">
            <wp:extent cx="3303510" cy="3136900"/>
            <wp:effectExtent l="0" t="0" r="0" b="6350"/>
            <wp:docPr id="546882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82492" name=""/>
                    <pic:cNvPicPr/>
                  </pic:nvPicPr>
                  <pic:blipFill rotWithShape="1">
                    <a:blip r:embed="rId15"/>
                    <a:srcRect l="29180" t="11658" r="29998" b="19437"/>
                    <a:stretch/>
                  </pic:blipFill>
                  <pic:spPr bwMode="auto">
                    <a:xfrm>
                      <a:off x="0" y="0"/>
                      <a:ext cx="3315245" cy="3148043"/>
                    </a:xfrm>
                    <a:prstGeom prst="rect">
                      <a:avLst/>
                    </a:prstGeom>
                    <a:ln>
                      <a:noFill/>
                    </a:ln>
                    <a:extLst>
                      <a:ext uri="{53640926-AAD7-44D8-BBD7-CCE9431645EC}">
                        <a14:shadowObscured xmlns:a14="http://schemas.microsoft.com/office/drawing/2010/main"/>
                      </a:ext>
                    </a:extLst>
                  </pic:spPr>
                </pic:pic>
              </a:graphicData>
            </a:graphic>
          </wp:inline>
        </w:drawing>
      </w:r>
    </w:p>
    <w:p w14:paraId="4FC5C74D" w14:textId="77777777" w:rsidR="00A864B1" w:rsidRDefault="00A864B1" w:rsidP="003D5F78">
      <w:pPr>
        <w:rPr>
          <w:rFonts w:ascii="Arial" w:hAnsi="Arial" w:cs="Arial"/>
          <w:b/>
          <w:bCs/>
          <w:sz w:val="22"/>
          <w:szCs w:val="22"/>
        </w:rPr>
      </w:pPr>
    </w:p>
    <w:p w14:paraId="2503A04D" w14:textId="5ACEEF78" w:rsidR="001F7583" w:rsidRPr="009E31A5" w:rsidRDefault="001F7583" w:rsidP="003D5F78">
      <w:pPr>
        <w:rPr>
          <w:rFonts w:ascii="Arial" w:hAnsi="Arial" w:cs="Arial"/>
          <w:sz w:val="22"/>
          <w:szCs w:val="22"/>
        </w:rPr>
      </w:pPr>
      <w:r w:rsidRPr="009E31A5">
        <w:rPr>
          <w:rFonts w:ascii="Arial" w:hAnsi="Arial" w:cs="Arial"/>
          <w:b/>
          <w:bCs/>
          <w:sz w:val="22"/>
          <w:szCs w:val="22"/>
        </w:rPr>
        <w:t xml:space="preserve">7. CONCLUSIONES </w:t>
      </w:r>
    </w:p>
    <w:p w14:paraId="31882EC9" w14:textId="77777777" w:rsidR="00722F4C" w:rsidRPr="009E31A5" w:rsidRDefault="00722F4C" w:rsidP="00D757B7">
      <w:pPr>
        <w:rPr>
          <w:rFonts w:ascii="Arial" w:hAnsi="Arial" w:cs="Arial"/>
          <w:b/>
          <w:color w:val="000000"/>
          <w:sz w:val="22"/>
          <w:szCs w:val="22"/>
        </w:rPr>
      </w:pPr>
    </w:p>
    <w:p w14:paraId="083F556C" w14:textId="77777777" w:rsidR="00CC0D06" w:rsidRDefault="00CC231C" w:rsidP="00DD144B">
      <w:pPr>
        <w:pStyle w:val="Prrafodelista"/>
        <w:numPr>
          <w:ilvl w:val="0"/>
          <w:numId w:val="14"/>
        </w:numPr>
        <w:jc w:val="both"/>
        <w:rPr>
          <w:rFonts w:ascii="Arial" w:hAnsi="Arial" w:cs="Arial"/>
          <w:color w:val="000000" w:themeColor="text1"/>
          <w:sz w:val="22"/>
          <w:szCs w:val="22"/>
        </w:rPr>
      </w:pPr>
      <w:r w:rsidRPr="009E31A5">
        <w:rPr>
          <w:rFonts w:ascii="Arial" w:hAnsi="Arial" w:cs="Arial"/>
          <w:color w:val="000000" w:themeColor="text1"/>
          <w:sz w:val="22"/>
          <w:szCs w:val="22"/>
        </w:rPr>
        <w:t xml:space="preserve">Teniendo en cuenta el informe </w:t>
      </w:r>
      <w:r w:rsidRPr="009E31A5">
        <w:rPr>
          <w:rFonts w:ascii="Arial" w:eastAsia="Times New Roman" w:hAnsi="Arial" w:cs="Arial"/>
          <w:sz w:val="22"/>
          <w:szCs w:val="22"/>
          <w:lang w:eastAsia="es-ES_tradnl"/>
        </w:rPr>
        <w:t xml:space="preserve">de auditoría financiera </w:t>
      </w:r>
      <w:r w:rsidR="00CC0D06">
        <w:rPr>
          <w:rFonts w:ascii="Arial" w:hAnsi="Arial" w:cs="Arial"/>
          <w:bCs/>
          <w:iCs/>
          <w:color w:val="000000"/>
          <w:sz w:val="20"/>
        </w:rPr>
        <w:t xml:space="preserve">CGR-CDJ No.006 </w:t>
      </w:r>
      <w:r w:rsidRPr="009E31A5">
        <w:rPr>
          <w:rFonts w:ascii="Arial" w:eastAsia="Times New Roman" w:hAnsi="Arial" w:cs="Arial"/>
          <w:sz w:val="22"/>
          <w:szCs w:val="22"/>
          <w:lang w:eastAsia="es-ES_tradnl"/>
        </w:rPr>
        <w:t>de mayo de 202</w:t>
      </w:r>
      <w:r w:rsidR="00CC0D06">
        <w:rPr>
          <w:rFonts w:ascii="Arial" w:eastAsia="Times New Roman" w:hAnsi="Arial" w:cs="Arial"/>
          <w:sz w:val="22"/>
          <w:szCs w:val="22"/>
          <w:lang w:eastAsia="es-ES_tradnl"/>
        </w:rPr>
        <w:t>3</w:t>
      </w:r>
      <w:r w:rsidRPr="009E31A5">
        <w:rPr>
          <w:rFonts w:ascii="Arial" w:eastAsia="Times New Roman" w:hAnsi="Arial" w:cs="Arial"/>
          <w:sz w:val="22"/>
          <w:szCs w:val="22"/>
          <w:lang w:eastAsia="es-ES_tradnl"/>
        </w:rPr>
        <w:t>, suscrito por la Contraloría General de la República,</w:t>
      </w:r>
      <w:r w:rsidRPr="009E31A5">
        <w:rPr>
          <w:rFonts w:ascii="Arial" w:hAnsi="Arial" w:cs="Arial"/>
          <w:color w:val="000000" w:themeColor="text1"/>
          <w:sz w:val="22"/>
          <w:szCs w:val="22"/>
        </w:rPr>
        <w:t xml:space="preserve"> se indicó la reformulación de los hallazgos </w:t>
      </w:r>
      <w:r w:rsidR="00CC0D06">
        <w:rPr>
          <w:rFonts w:ascii="Arial" w:hAnsi="Arial" w:cs="Arial"/>
          <w:color w:val="000000" w:themeColor="text1"/>
          <w:sz w:val="22"/>
          <w:szCs w:val="22"/>
        </w:rPr>
        <w:t>82 de la vigencia 2020 y 11, 14, 18</w:t>
      </w:r>
      <w:r w:rsidRPr="009E31A5">
        <w:rPr>
          <w:rFonts w:ascii="Arial" w:hAnsi="Arial" w:cs="Arial"/>
          <w:color w:val="000000" w:themeColor="text1"/>
          <w:sz w:val="22"/>
          <w:szCs w:val="22"/>
        </w:rPr>
        <w:t xml:space="preserve"> de la vigencia 202</w:t>
      </w:r>
      <w:r w:rsidR="00CC0D06">
        <w:rPr>
          <w:rFonts w:ascii="Arial" w:hAnsi="Arial" w:cs="Arial"/>
          <w:color w:val="000000" w:themeColor="text1"/>
          <w:sz w:val="22"/>
          <w:szCs w:val="22"/>
        </w:rPr>
        <w:t>2</w:t>
      </w:r>
      <w:r w:rsidRPr="009E31A5">
        <w:rPr>
          <w:rFonts w:ascii="Arial" w:hAnsi="Arial" w:cs="Arial"/>
          <w:color w:val="000000" w:themeColor="text1"/>
          <w:sz w:val="22"/>
          <w:szCs w:val="22"/>
        </w:rPr>
        <w:t>, por tener un cumplimiento parcial, incumplimiento</w:t>
      </w:r>
      <w:r w:rsidR="003839D4" w:rsidRPr="009E31A5">
        <w:rPr>
          <w:rFonts w:ascii="Arial" w:hAnsi="Arial" w:cs="Arial"/>
          <w:color w:val="000000" w:themeColor="text1"/>
          <w:sz w:val="22"/>
          <w:szCs w:val="22"/>
        </w:rPr>
        <w:t xml:space="preserve">, </w:t>
      </w:r>
      <w:r w:rsidRPr="009E31A5">
        <w:rPr>
          <w:rFonts w:ascii="Arial" w:hAnsi="Arial" w:cs="Arial"/>
          <w:color w:val="000000" w:themeColor="text1"/>
          <w:sz w:val="22"/>
          <w:szCs w:val="22"/>
        </w:rPr>
        <w:t>inefectivos</w:t>
      </w:r>
      <w:r w:rsidR="003839D4" w:rsidRPr="009E31A5">
        <w:rPr>
          <w:rFonts w:ascii="Arial" w:hAnsi="Arial" w:cs="Arial"/>
          <w:color w:val="000000" w:themeColor="text1"/>
          <w:sz w:val="22"/>
          <w:szCs w:val="22"/>
        </w:rPr>
        <w:t xml:space="preserve"> o que persisten</w:t>
      </w:r>
      <w:r w:rsidR="00FE7D05" w:rsidRPr="009E31A5">
        <w:rPr>
          <w:rFonts w:ascii="Arial" w:hAnsi="Arial" w:cs="Arial"/>
          <w:color w:val="000000" w:themeColor="text1"/>
          <w:sz w:val="22"/>
          <w:szCs w:val="22"/>
        </w:rPr>
        <w:t xml:space="preserve">, los cuales fueron </w:t>
      </w:r>
      <w:r w:rsidR="00610AEE">
        <w:rPr>
          <w:rFonts w:ascii="Arial" w:hAnsi="Arial" w:cs="Arial"/>
          <w:color w:val="000000" w:themeColor="text1"/>
          <w:sz w:val="22"/>
          <w:szCs w:val="22"/>
        </w:rPr>
        <w:t>reformulados</w:t>
      </w:r>
    </w:p>
    <w:p w14:paraId="4FEC6DCD" w14:textId="03349C94" w:rsidR="00CC231C" w:rsidRPr="009E31A5" w:rsidRDefault="00CC0D06" w:rsidP="00DD144B">
      <w:pPr>
        <w:pStyle w:val="Prrafodelista"/>
        <w:numPr>
          <w:ilvl w:val="0"/>
          <w:numId w:val="14"/>
        </w:numPr>
        <w:jc w:val="both"/>
        <w:rPr>
          <w:rFonts w:ascii="Arial" w:hAnsi="Arial" w:cs="Arial"/>
          <w:color w:val="000000" w:themeColor="text1"/>
          <w:sz w:val="22"/>
          <w:szCs w:val="22"/>
        </w:rPr>
      </w:pPr>
      <w:r>
        <w:rPr>
          <w:rFonts w:ascii="Arial" w:hAnsi="Arial" w:cs="Arial"/>
          <w:color w:val="000000" w:themeColor="text1"/>
          <w:sz w:val="22"/>
          <w:szCs w:val="22"/>
        </w:rPr>
        <w:t>Así mismo, conforme el informe antes citado, se eliminaron del plan de mejoramiento los hallazgos 61 y 74 de la vigencia 2020 y 1, 2, 3, 4, 5, 6, 16, 17, 16, y 19 de la vigencia 2022.</w:t>
      </w:r>
    </w:p>
    <w:p w14:paraId="3FDD5205" w14:textId="430D9C07" w:rsidR="00FE7D05" w:rsidRPr="00044499" w:rsidRDefault="00D757B7" w:rsidP="00DD144B">
      <w:pPr>
        <w:pStyle w:val="Prrafodelista"/>
        <w:numPr>
          <w:ilvl w:val="0"/>
          <w:numId w:val="14"/>
        </w:numPr>
        <w:jc w:val="both"/>
        <w:rPr>
          <w:rFonts w:ascii="Arial" w:hAnsi="Arial" w:cs="Arial"/>
          <w:sz w:val="22"/>
          <w:szCs w:val="22"/>
        </w:rPr>
      </w:pPr>
      <w:r w:rsidRPr="00044499">
        <w:rPr>
          <w:rFonts w:ascii="Arial" w:hAnsi="Arial" w:cs="Arial"/>
          <w:bCs/>
          <w:color w:val="000000"/>
          <w:sz w:val="22"/>
          <w:szCs w:val="22"/>
        </w:rPr>
        <w:t xml:space="preserve">Conforme a la información recopilada en el actual seguimiento </w:t>
      </w:r>
      <w:r w:rsidR="003839D4" w:rsidRPr="00044499">
        <w:rPr>
          <w:rFonts w:ascii="Arial" w:hAnsi="Arial" w:cs="Arial"/>
          <w:bCs/>
          <w:color w:val="000000"/>
          <w:sz w:val="22"/>
          <w:szCs w:val="22"/>
        </w:rPr>
        <w:t>con corte 3</w:t>
      </w:r>
      <w:r w:rsidR="00CC0D06" w:rsidRPr="00044499">
        <w:rPr>
          <w:rFonts w:ascii="Arial" w:hAnsi="Arial" w:cs="Arial"/>
          <w:bCs/>
          <w:color w:val="000000"/>
          <w:sz w:val="22"/>
          <w:szCs w:val="22"/>
        </w:rPr>
        <w:t>0</w:t>
      </w:r>
      <w:r w:rsidR="003839D4" w:rsidRPr="00044499">
        <w:rPr>
          <w:rFonts w:ascii="Arial" w:hAnsi="Arial" w:cs="Arial"/>
          <w:bCs/>
          <w:color w:val="000000"/>
          <w:sz w:val="22"/>
          <w:szCs w:val="22"/>
        </w:rPr>
        <w:t xml:space="preserve"> de </w:t>
      </w:r>
      <w:r w:rsidR="00CC0D06" w:rsidRPr="00044499">
        <w:rPr>
          <w:rFonts w:ascii="Arial" w:hAnsi="Arial" w:cs="Arial"/>
          <w:bCs/>
          <w:color w:val="000000"/>
          <w:sz w:val="22"/>
          <w:szCs w:val="22"/>
        </w:rPr>
        <w:t xml:space="preserve">junio </w:t>
      </w:r>
      <w:r w:rsidR="003839D4" w:rsidRPr="00044499">
        <w:rPr>
          <w:rFonts w:ascii="Arial" w:hAnsi="Arial" w:cs="Arial"/>
          <w:bCs/>
          <w:color w:val="000000"/>
          <w:sz w:val="22"/>
          <w:szCs w:val="22"/>
        </w:rPr>
        <w:t>de 202</w:t>
      </w:r>
      <w:r w:rsidR="00CC0D06" w:rsidRPr="00044499">
        <w:rPr>
          <w:rFonts w:ascii="Arial" w:hAnsi="Arial" w:cs="Arial"/>
          <w:bCs/>
          <w:color w:val="000000"/>
          <w:sz w:val="22"/>
          <w:szCs w:val="22"/>
        </w:rPr>
        <w:t>3</w:t>
      </w:r>
      <w:r w:rsidR="003839D4" w:rsidRPr="00044499">
        <w:rPr>
          <w:rFonts w:ascii="Arial" w:hAnsi="Arial" w:cs="Arial"/>
          <w:bCs/>
          <w:color w:val="000000"/>
          <w:sz w:val="22"/>
          <w:szCs w:val="22"/>
        </w:rPr>
        <w:t xml:space="preserve"> </w:t>
      </w:r>
      <w:r w:rsidRPr="00044499">
        <w:rPr>
          <w:rFonts w:ascii="Arial" w:hAnsi="Arial" w:cs="Arial"/>
          <w:bCs/>
          <w:color w:val="000000"/>
          <w:sz w:val="22"/>
          <w:szCs w:val="22"/>
        </w:rPr>
        <w:t>se determinó</w:t>
      </w:r>
      <w:r w:rsidR="00BE12EB" w:rsidRPr="00044499">
        <w:rPr>
          <w:rFonts w:ascii="Arial" w:hAnsi="Arial" w:cs="Arial"/>
          <w:bCs/>
          <w:color w:val="000000"/>
          <w:sz w:val="22"/>
          <w:szCs w:val="22"/>
        </w:rPr>
        <w:t xml:space="preserve"> que</w:t>
      </w:r>
      <w:r w:rsidR="00FE7D05" w:rsidRPr="00044499">
        <w:rPr>
          <w:rFonts w:ascii="Arial" w:hAnsi="Arial" w:cs="Arial"/>
          <w:bCs/>
          <w:color w:val="000000"/>
          <w:sz w:val="22"/>
          <w:szCs w:val="22"/>
        </w:rPr>
        <w:t xml:space="preserve"> de un total de </w:t>
      </w:r>
      <w:r w:rsidR="00CC0D06" w:rsidRPr="00044499">
        <w:rPr>
          <w:rFonts w:ascii="Arial" w:hAnsi="Arial" w:cs="Arial"/>
          <w:bCs/>
          <w:color w:val="000000"/>
          <w:sz w:val="22"/>
          <w:szCs w:val="22"/>
        </w:rPr>
        <w:t>67</w:t>
      </w:r>
      <w:r w:rsidR="00FE7D05" w:rsidRPr="00044499">
        <w:rPr>
          <w:rFonts w:ascii="Arial" w:hAnsi="Arial" w:cs="Arial"/>
          <w:bCs/>
          <w:color w:val="000000"/>
          <w:sz w:val="22"/>
          <w:szCs w:val="22"/>
        </w:rPr>
        <w:t xml:space="preserve"> metas y </w:t>
      </w:r>
      <w:r w:rsidR="00CC0D06" w:rsidRPr="00044499">
        <w:rPr>
          <w:rFonts w:ascii="Arial" w:hAnsi="Arial" w:cs="Arial"/>
          <w:bCs/>
          <w:color w:val="000000"/>
          <w:sz w:val="22"/>
          <w:szCs w:val="22"/>
        </w:rPr>
        <w:t>42</w:t>
      </w:r>
      <w:r w:rsidR="00FE7D05" w:rsidRPr="00044499">
        <w:rPr>
          <w:rFonts w:ascii="Arial" w:hAnsi="Arial" w:cs="Arial"/>
          <w:bCs/>
          <w:color w:val="000000"/>
          <w:sz w:val="22"/>
          <w:szCs w:val="22"/>
        </w:rPr>
        <w:t xml:space="preserve"> hallazgos se presenta un nivel de avance del </w:t>
      </w:r>
      <w:r w:rsidR="00CC0D06" w:rsidRPr="00044499">
        <w:rPr>
          <w:rFonts w:ascii="Arial" w:hAnsi="Arial" w:cs="Arial"/>
          <w:bCs/>
          <w:color w:val="000000"/>
          <w:sz w:val="22"/>
          <w:szCs w:val="22"/>
        </w:rPr>
        <w:t>96.53</w:t>
      </w:r>
      <w:r w:rsidR="00FE7D05" w:rsidRPr="00044499">
        <w:rPr>
          <w:rFonts w:ascii="Arial" w:hAnsi="Arial" w:cs="Arial"/>
          <w:bCs/>
          <w:color w:val="000000"/>
          <w:sz w:val="22"/>
          <w:szCs w:val="22"/>
        </w:rPr>
        <w:t>% y un nivel de cumplimiento del 97.</w:t>
      </w:r>
      <w:r w:rsidR="00CC0D06" w:rsidRPr="00044499">
        <w:rPr>
          <w:rFonts w:ascii="Arial" w:hAnsi="Arial" w:cs="Arial"/>
          <w:bCs/>
          <w:color w:val="000000"/>
          <w:sz w:val="22"/>
          <w:szCs w:val="22"/>
        </w:rPr>
        <w:t>88</w:t>
      </w:r>
      <w:r w:rsidR="00FE7D05" w:rsidRPr="00044499">
        <w:rPr>
          <w:rFonts w:ascii="Arial" w:hAnsi="Arial" w:cs="Arial"/>
          <w:bCs/>
          <w:color w:val="000000"/>
          <w:sz w:val="22"/>
          <w:szCs w:val="22"/>
        </w:rPr>
        <w:t>%.</w:t>
      </w:r>
    </w:p>
    <w:p w14:paraId="13E3312A" w14:textId="6935BC11" w:rsidR="00D757B7" w:rsidRPr="00044499" w:rsidRDefault="00677592" w:rsidP="00BE12EB">
      <w:pPr>
        <w:widowControl w:val="0"/>
        <w:numPr>
          <w:ilvl w:val="0"/>
          <w:numId w:val="10"/>
        </w:numPr>
        <w:overflowPunct w:val="0"/>
        <w:autoSpaceDE w:val="0"/>
        <w:autoSpaceDN w:val="0"/>
        <w:adjustRightInd w:val="0"/>
        <w:ind w:left="360" w:hanging="360"/>
        <w:jc w:val="both"/>
        <w:textAlignment w:val="baseline"/>
        <w:rPr>
          <w:rFonts w:ascii="Arial" w:hAnsi="Arial" w:cs="Arial"/>
          <w:color w:val="000000" w:themeColor="text1"/>
          <w:sz w:val="22"/>
          <w:szCs w:val="22"/>
        </w:rPr>
      </w:pPr>
      <w:bookmarkStart w:id="0" w:name="_Hlk77839491"/>
      <w:r w:rsidRPr="00044499">
        <w:rPr>
          <w:rFonts w:ascii="Arial" w:hAnsi="Arial" w:cs="Arial"/>
          <w:bCs/>
          <w:color w:val="000000"/>
          <w:sz w:val="22"/>
          <w:szCs w:val="22"/>
        </w:rPr>
        <w:t xml:space="preserve">Se estableció un nivel de efectividad del </w:t>
      </w:r>
      <w:r w:rsidR="00044499" w:rsidRPr="00044499">
        <w:rPr>
          <w:rFonts w:ascii="Arial" w:hAnsi="Arial" w:cs="Arial"/>
          <w:bCs/>
          <w:color w:val="000000"/>
          <w:sz w:val="22"/>
          <w:szCs w:val="22"/>
        </w:rPr>
        <w:t>8</w:t>
      </w:r>
      <w:r w:rsidR="00CF06CE">
        <w:rPr>
          <w:rFonts w:ascii="Arial" w:hAnsi="Arial" w:cs="Arial"/>
          <w:bCs/>
          <w:color w:val="000000"/>
          <w:sz w:val="22"/>
          <w:szCs w:val="22"/>
        </w:rPr>
        <w:t>8.24</w:t>
      </w:r>
      <w:r w:rsidRPr="00044499">
        <w:rPr>
          <w:rFonts w:ascii="Arial" w:hAnsi="Arial" w:cs="Arial"/>
          <w:bCs/>
          <w:color w:val="000000"/>
          <w:sz w:val="22"/>
          <w:szCs w:val="22"/>
        </w:rPr>
        <w:t>%</w:t>
      </w:r>
      <w:r w:rsidR="007F07D8" w:rsidRPr="00044499">
        <w:rPr>
          <w:rFonts w:ascii="Arial" w:hAnsi="Arial" w:cs="Arial"/>
          <w:bCs/>
          <w:color w:val="000000"/>
          <w:sz w:val="22"/>
          <w:szCs w:val="22"/>
        </w:rPr>
        <w:t xml:space="preserve"> del Plan de Mejoramiento a 3</w:t>
      </w:r>
      <w:r w:rsidR="00727DE8" w:rsidRPr="00044499">
        <w:rPr>
          <w:rFonts w:ascii="Arial" w:hAnsi="Arial" w:cs="Arial"/>
          <w:bCs/>
          <w:color w:val="000000"/>
          <w:sz w:val="22"/>
          <w:szCs w:val="22"/>
        </w:rPr>
        <w:t>1</w:t>
      </w:r>
      <w:r w:rsidR="007F07D8" w:rsidRPr="00044499">
        <w:rPr>
          <w:rFonts w:ascii="Arial" w:hAnsi="Arial" w:cs="Arial"/>
          <w:bCs/>
          <w:color w:val="000000"/>
          <w:sz w:val="22"/>
          <w:szCs w:val="22"/>
        </w:rPr>
        <w:t xml:space="preserve"> de </w:t>
      </w:r>
      <w:r w:rsidR="00727DE8" w:rsidRPr="00044499">
        <w:rPr>
          <w:rFonts w:ascii="Arial" w:hAnsi="Arial" w:cs="Arial"/>
          <w:bCs/>
          <w:color w:val="000000"/>
          <w:sz w:val="22"/>
          <w:szCs w:val="22"/>
        </w:rPr>
        <w:t xml:space="preserve">diciembre </w:t>
      </w:r>
      <w:r w:rsidR="003839D4" w:rsidRPr="00044499">
        <w:rPr>
          <w:rFonts w:ascii="Arial" w:hAnsi="Arial" w:cs="Arial"/>
          <w:bCs/>
          <w:color w:val="000000"/>
          <w:sz w:val="22"/>
          <w:szCs w:val="22"/>
        </w:rPr>
        <w:t>de 2022</w:t>
      </w:r>
      <w:r w:rsidRPr="00044499">
        <w:rPr>
          <w:rFonts w:ascii="Arial" w:hAnsi="Arial" w:cs="Arial"/>
          <w:bCs/>
          <w:color w:val="000000"/>
          <w:sz w:val="22"/>
          <w:szCs w:val="22"/>
        </w:rPr>
        <w:t>.</w:t>
      </w:r>
      <w:r w:rsidR="00D757B7" w:rsidRPr="00044499">
        <w:rPr>
          <w:rFonts w:ascii="Arial" w:hAnsi="Arial" w:cs="Arial"/>
          <w:sz w:val="22"/>
          <w:szCs w:val="22"/>
        </w:rPr>
        <w:t xml:space="preserve"> </w:t>
      </w:r>
    </w:p>
    <w:bookmarkEnd w:id="0"/>
    <w:p w14:paraId="529A6CE0" w14:textId="77777777" w:rsidR="00DB3193" w:rsidRPr="009E31A5" w:rsidRDefault="00DB3193" w:rsidP="00C31601">
      <w:pPr>
        <w:rPr>
          <w:rFonts w:ascii="Arial" w:hAnsi="Arial" w:cs="Arial"/>
          <w:b/>
          <w:bCs/>
          <w:sz w:val="22"/>
          <w:szCs w:val="22"/>
        </w:rPr>
      </w:pPr>
    </w:p>
    <w:p w14:paraId="3E49852B" w14:textId="6F5427C8" w:rsidR="001F7583" w:rsidRPr="009E31A5" w:rsidRDefault="001F7583" w:rsidP="00C31601">
      <w:pPr>
        <w:rPr>
          <w:rFonts w:ascii="Arial" w:hAnsi="Arial" w:cs="Arial"/>
          <w:b/>
          <w:bCs/>
          <w:sz w:val="22"/>
          <w:szCs w:val="22"/>
        </w:rPr>
      </w:pPr>
      <w:r w:rsidRPr="009E31A5">
        <w:rPr>
          <w:rFonts w:ascii="Arial" w:hAnsi="Arial" w:cs="Arial"/>
          <w:b/>
          <w:bCs/>
          <w:sz w:val="22"/>
          <w:szCs w:val="22"/>
        </w:rPr>
        <w:t xml:space="preserve">8. RECOMENDACIONES. </w:t>
      </w:r>
    </w:p>
    <w:p w14:paraId="0A870D9C" w14:textId="77777777" w:rsidR="00AE66D0" w:rsidRPr="009E31A5" w:rsidRDefault="00AE66D0" w:rsidP="00C31601">
      <w:pPr>
        <w:rPr>
          <w:rFonts w:ascii="Arial" w:hAnsi="Arial" w:cs="Arial"/>
          <w:sz w:val="22"/>
          <w:szCs w:val="22"/>
        </w:rPr>
      </w:pPr>
    </w:p>
    <w:p w14:paraId="36C668F8" w14:textId="77777777" w:rsidR="00B64EED" w:rsidRDefault="00B64EED" w:rsidP="006F0EFA">
      <w:pPr>
        <w:widowControl w:val="0"/>
        <w:numPr>
          <w:ilvl w:val="0"/>
          <w:numId w:val="11"/>
        </w:numPr>
        <w:overflowPunct w:val="0"/>
        <w:autoSpaceDE w:val="0"/>
        <w:autoSpaceDN w:val="0"/>
        <w:adjustRightInd w:val="0"/>
        <w:ind w:left="426"/>
        <w:jc w:val="both"/>
        <w:textAlignment w:val="baseline"/>
        <w:rPr>
          <w:rFonts w:ascii="Arial" w:hAnsi="Arial" w:cs="Arial"/>
          <w:bCs/>
          <w:color w:val="000000"/>
          <w:sz w:val="22"/>
          <w:szCs w:val="22"/>
        </w:rPr>
      </w:pPr>
      <w:r w:rsidRPr="006F0EFA">
        <w:rPr>
          <w:rFonts w:ascii="Arial" w:hAnsi="Arial" w:cs="Arial"/>
          <w:bCs/>
          <w:color w:val="000000"/>
          <w:sz w:val="22"/>
          <w:szCs w:val="22"/>
        </w:rPr>
        <w:t xml:space="preserve">Dar continuidad a la efectividad de las acciones de mejoramiento implementadas en los procesos y subprocesos con el propósito de mantener </w:t>
      </w:r>
      <w:r>
        <w:rPr>
          <w:rFonts w:ascii="Arial" w:hAnsi="Arial" w:cs="Arial"/>
          <w:bCs/>
          <w:color w:val="000000"/>
          <w:sz w:val="22"/>
          <w:szCs w:val="22"/>
        </w:rPr>
        <w:t>l</w:t>
      </w:r>
      <w:r w:rsidRPr="00B64EED">
        <w:rPr>
          <w:rFonts w:ascii="Arial" w:hAnsi="Arial" w:cs="Arial"/>
          <w:bCs/>
          <w:color w:val="000000"/>
          <w:sz w:val="22"/>
          <w:szCs w:val="22"/>
        </w:rPr>
        <w:t xml:space="preserve">a opinión </w:t>
      </w:r>
      <w:r>
        <w:rPr>
          <w:rFonts w:ascii="Arial" w:hAnsi="Arial" w:cs="Arial"/>
          <w:bCs/>
          <w:color w:val="000000"/>
          <w:sz w:val="22"/>
          <w:szCs w:val="22"/>
        </w:rPr>
        <w:t>sin salvedades sobre los Estados Financieros de la Fiscalía General de la Nación obtenida para la vigencia 2022.</w:t>
      </w:r>
    </w:p>
    <w:p w14:paraId="76CA4938" w14:textId="77777777" w:rsidR="007B5CFB" w:rsidRDefault="007B5CFB" w:rsidP="007B5CFB">
      <w:pPr>
        <w:widowControl w:val="0"/>
        <w:overflowPunct w:val="0"/>
        <w:autoSpaceDE w:val="0"/>
        <w:autoSpaceDN w:val="0"/>
        <w:adjustRightInd w:val="0"/>
        <w:ind w:left="426"/>
        <w:jc w:val="both"/>
        <w:textAlignment w:val="baseline"/>
        <w:rPr>
          <w:rFonts w:ascii="Arial" w:hAnsi="Arial" w:cs="Arial"/>
          <w:bCs/>
          <w:color w:val="000000"/>
          <w:sz w:val="22"/>
          <w:szCs w:val="22"/>
        </w:rPr>
      </w:pPr>
    </w:p>
    <w:p w14:paraId="25171888" w14:textId="035821A5" w:rsidR="006F0EFA" w:rsidRDefault="00B64EED" w:rsidP="006F0EFA">
      <w:pPr>
        <w:widowControl w:val="0"/>
        <w:numPr>
          <w:ilvl w:val="0"/>
          <w:numId w:val="11"/>
        </w:numPr>
        <w:overflowPunct w:val="0"/>
        <w:autoSpaceDE w:val="0"/>
        <w:autoSpaceDN w:val="0"/>
        <w:adjustRightInd w:val="0"/>
        <w:ind w:left="426"/>
        <w:jc w:val="both"/>
        <w:textAlignment w:val="baseline"/>
        <w:rPr>
          <w:rFonts w:ascii="Arial" w:hAnsi="Arial" w:cs="Arial"/>
          <w:bCs/>
          <w:color w:val="000000"/>
          <w:sz w:val="22"/>
          <w:szCs w:val="22"/>
        </w:rPr>
      </w:pPr>
      <w:r>
        <w:rPr>
          <w:rFonts w:ascii="Arial" w:hAnsi="Arial" w:cs="Arial"/>
          <w:bCs/>
          <w:color w:val="000000"/>
          <w:sz w:val="22"/>
          <w:szCs w:val="22"/>
        </w:rPr>
        <w:t xml:space="preserve">Fortalecer los controles </w:t>
      </w:r>
      <w:r w:rsidR="006F0EFA">
        <w:rPr>
          <w:rFonts w:ascii="Arial" w:hAnsi="Arial" w:cs="Arial"/>
          <w:bCs/>
          <w:color w:val="000000"/>
          <w:sz w:val="22"/>
          <w:szCs w:val="22"/>
        </w:rPr>
        <w:t xml:space="preserve">frente a los temas objeto de hallazgo y recomendación establecidos en los procesos auditores adelantados por el Ente de Control Fiscal como por esta Dirección para subsanar o mitigar las debilidades establecidas, y que </w:t>
      </w:r>
      <w:r w:rsidR="006F0EFA">
        <w:rPr>
          <w:rFonts w:ascii="Arial" w:hAnsi="Arial" w:cs="Arial"/>
          <w:bCs/>
          <w:color w:val="000000"/>
          <w:sz w:val="22"/>
          <w:szCs w:val="22"/>
        </w:rPr>
        <w:lastRenderedPageBreak/>
        <w:t>fueron tratadas con acciones de mejoramiento formuladas ante</w:t>
      </w:r>
      <w:r w:rsidRPr="00B64EED">
        <w:rPr>
          <w:rFonts w:ascii="Arial" w:hAnsi="Arial" w:cs="Arial"/>
          <w:bCs/>
          <w:color w:val="000000"/>
          <w:sz w:val="22"/>
          <w:szCs w:val="22"/>
        </w:rPr>
        <w:t xml:space="preserve"> la CGR </w:t>
      </w:r>
      <w:r w:rsidR="006F0EFA">
        <w:rPr>
          <w:rFonts w:ascii="Arial" w:hAnsi="Arial" w:cs="Arial"/>
          <w:bCs/>
          <w:color w:val="000000"/>
          <w:sz w:val="22"/>
          <w:szCs w:val="22"/>
        </w:rPr>
        <w:t>como al interior de los procesos.</w:t>
      </w:r>
    </w:p>
    <w:p w14:paraId="39CFEF8F" w14:textId="77777777" w:rsidR="007B5CFB" w:rsidRDefault="007B5CFB" w:rsidP="007B5CFB">
      <w:pPr>
        <w:pStyle w:val="Prrafodelista"/>
        <w:rPr>
          <w:rFonts w:ascii="Arial" w:hAnsi="Arial" w:cs="Arial"/>
          <w:bCs/>
          <w:color w:val="000000"/>
          <w:sz w:val="22"/>
          <w:szCs w:val="22"/>
        </w:rPr>
      </w:pPr>
    </w:p>
    <w:p w14:paraId="2129A36F" w14:textId="348329FB" w:rsidR="00727DE8" w:rsidRPr="006F0EFA" w:rsidRDefault="006F0EFA" w:rsidP="006F0EFA">
      <w:pPr>
        <w:widowControl w:val="0"/>
        <w:numPr>
          <w:ilvl w:val="0"/>
          <w:numId w:val="11"/>
        </w:numPr>
        <w:overflowPunct w:val="0"/>
        <w:autoSpaceDE w:val="0"/>
        <w:autoSpaceDN w:val="0"/>
        <w:adjustRightInd w:val="0"/>
        <w:ind w:left="426"/>
        <w:jc w:val="both"/>
        <w:textAlignment w:val="baseline"/>
        <w:rPr>
          <w:rFonts w:ascii="Arial" w:hAnsi="Arial" w:cs="Arial"/>
          <w:bCs/>
          <w:color w:val="000000"/>
          <w:sz w:val="22"/>
          <w:szCs w:val="22"/>
        </w:rPr>
      </w:pPr>
      <w:r>
        <w:rPr>
          <w:rFonts w:ascii="Arial" w:hAnsi="Arial" w:cs="Arial"/>
          <w:bCs/>
          <w:color w:val="000000"/>
          <w:sz w:val="22"/>
          <w:szCs w:val="22"/>
        </w:rPr>
        <w:t xml:space="preserve">Permanencia </w:t>
      </w:r>
      <w:r w:rsidR="00CF06CE">
        <w:rPr>
          <w:rFonts w:ascii="Arial" w:hAnsi="Arial" w:cs="Arial"/>
          <w:bCs/>
          <w:color w:val="000000"/>
          <w:sz w:val="22"/>
          <w:szCs w:val="22"/>
        </w:rPr>
        <w:t>de</w:t>
      </w:r>
      <w:r w:rsidR="00727DE8" w:rsidRPr="006F0EFA">
        <w:rPr>
          <w:rFonts w:ascii="Arial" w:hAnsi="Arial" w:cs="Arial"/>
          <w:bCs/>
          <w:color w:val="000000"/>
          <w:sz w:val="22"/>
          <w:szCs w:val="22"/>
        </w:rPr>
        <w:t xml:space="preserve"> </w:t>
      </w:r>
      <w:r>
        <w:rPr>
          <w:rFonts w:ascii="Arial" w:hAnsi="Arial" w:cs="Arial"/>
          <w:bCs/>
          <w:color w:val="000000"/>
          <w:sz w:val="22"/>
          <w:szCs w:val="22"/>
        </w:rPr>
        <w:t xml:space="preserve">las acciones </w:t>
      </w:r>
      <w:r w:rsidR="00CF06CE">
        <w:rPr>
          <w:rFonts w:ascii="Arial" w:hAnsi="Arial" w:cs="Arial"/>
          <w:bCs/>
          <w:color w:val="000000"/>
          <w:sz w:val="22"/>
          <w:szCs w:val="22"/>
        </w:rPr>
        <w:t xml:space="preserve">adelantadas por </w:t>
      </w:r>
      <w:r w:rsidR="00727DE8" w:rsidRPr="006F0EFA">
        <w:rPr>
          <w:rFonts w:ascii="Arial" w:hAnsi="Arial" w:cs="Arial"/>
          <w:bCs/>
          <w:color w:val="000000"/>
          <w:sz w:val="22"/>
          <w:szCs w:val="22"/>
        </w:rPr>
        <w:t>la primera y segunda línea de defensa.</w:t>
      </w:r>
    </w:p>
    <w:p w14:paraId="76DF1555" w14:textId="77777777" w:rsidR="006366C2" w:rsidRPr="009E31A5" w:rsidRDefault="006366C2" w:rsidP="00727DE8">
      <w:pPr>
        <w:widowControl w:val="0"/>
        <w:overflowPunct w:val="0"/>
        <w:autoSpaceDE w:val="0"/>
        <w:autoSpaceDN w:val="0"/>
        <w:adjustRightInd w:val="0"/>
        <w:ind w:left="360"/>
        <w:jc w:val="both"/>
        <w:textAlignment w:val="baseline"/>
        <w:rPr>
          <w:rFonts w:ascii="Arial" w:hAnsi="Arial" w:cs="Arial"/>
          <w:bCs/>
          <w:color w:val="000000"/>
          <w:sz w:val="22"/>
          <w:szCs w:val="22"/>
        </w:rPr>
      </w:pPr>
    </w:p>
    <w:p w14:paraId="703FAEDF" w14:textId="61E9A414" w:rsidR="006E3829" w:rsidRPr="009E31A5" w:rsidRDefault="006E3829" w:rsidP="00DC4CCE">
      <w:pPr>
        <w:jc w:val="both"/>
        <w:rPr>
          <w:rFonts w:ascii="Arial" w:hAnsi="Arial" w:cs="Arial"/>
          <w:sz w:val="22"/>
          <w:szCs w:val="22"/>
        </w:rPr>
      </w:pPr>
      <w:r w:rsidRPr="009E31A5">
        <w:rPr>
          <w:rFonts w:ascii="Arial" w:hAnsi="Arial" w:cs="Arial"/>
          <w:sz w:val="22"/>
          <w:szCs w:val="22"/>
        </w:rPr>
        <w:t>E</w:t>
      </w:r>
      <w:r w:rsidR="00DC4CCE" w:rsidRPr="009E31A5">
        <w:rPr>
          <w:rFonts w:ascii="Arial" w:hAnsi="Arial" w:cs="Arial"/>
          <w:sz w:val="22"/>
          <w:szCs w:val="22"/>
        </w:rPr>
        <w:t>laborado por</w:t>
      </w:r>
      <w:r w:rsidRPr="009E31A5">
        <w:rPr>
          <w:rFonts w:ascii="Arial" w:hAnsi="Arial" w:cs="Arial"/>
          <w:sz w:val="22"/>
          <w:szCs w:val="22"/>
        </w:rPr>
        <w:t>:</w:t>
      </w:r>
    </w:p>
    <w:p w14:paraId="727B0201" w14:textId="7408D77F" w:rsidR="006E3829" w:rsidRDefault="006E3829" w:rsidP="00DC4CCE">
      <w:pPr>
        <w:jc w:val="both"/>
        <w:rPr>
          <w:rFonts w:ascii="Arial" w:hAnsi="Arial" w:cs="Arial"/>
          <w:sz w:val="22"/>
          <w:szCs w:val="22"/>
        </w:rPr>
      </w:pPr>
    </w:p>
    <w:p w14:paraId="1BC2318C" w14:textId="77777777" w:rsidR="009D3405" w:rsidRDefault="009D3405" w:rsidP="00DC4CCE">
      <w:pPr>
        <w:jc w:val="both"/>
        <w:rPr>
          <w:rFonts w:ascii="Arial" w:hAnsi="Arial" w:cs="Arial"/>
          <w:sz w:val="22"/>
          <w:szCs w:val="22"/>
        </w:rPr>
      </w:pPr>
    </w:p>
    <w:p w14:paraId="0B525EE2" w14:textId="77777777" w:rsidR="009D3405" w:rsidRDefault="009D3405" w:rsidP="00DC4CCE">
      <w:pPr>
        <w:jc w:val="both"/>
        <w:rPr>
          <w:rFonts w:ascii="Arial" w:hAnsi="Arial" w:cs="Arial"/>
          <w:sz w:val="22"/>
          <w:szCs w:val="22"/>
        </w:rPr>
      </w:pPr>
    </w:p>
    <w:p w14:paraId="3A3DD395" w14:textId="77777777" w:rsidR="009D3405" w:rsidRPr="009E31A5" w:rsidRDefault="009D3405" w:rsidP="00DC4CCE">
      <w:pPr>
        <w:jc w:val="both"/>
        <w:rPr>
          <w:rFonts w:ascii="Arial" w:hAnsi="Arial" w:cs="Arial"/>
          <w:sz w:val="22"/>
          <w:szCs w:val="22"/>
        </w:rPr>
      </w:pPr>
    </w:p>
    <w:p w14:paraId="12401C26" w14:textId="70FDE0F4" w:rsidR="006E3829" w:rsidRPr="009E31A5" w:rsidRDefault="00777AE5" w:rsidP="00777AE5">
      <w:pPr>
        <w:jc w:val="both"/>
        <w:rPr>
          <w:rFonts w:ascii="Arial" w:hAnsi="Arial" w:cs="Arial"/>
          <w:sz w:val="22"/>
          <w:szCs w:val="22"/>
        </w:rPr>
      </w:pPr>
      <w:r w:rsidRPr="009E31A5">
        <w:rPr>
          <w:rFonts w:ascii="Arial" w:hAnsi="Arial" w:cs="Arial"/>
        </w:rPr>
        <w:fldChar w:fldCharType="begin"/>
      </w:r>
      <w:r w:rsidR="00F240CA" w:rsidRPr="009E31A5">
        <w:rPr>
          <w:rFonts w:ascii="Arial" w:hAnsi="Arial" w:cs="Arial"/>
        </w:rPr>
        <w:instrText xml:space="preserve"> INCLUDEPICTURE "E:\\var\\folders\\24\\x4y4zqpn4q9fl4_rqk6mgkdm0000gn\\T\\com.microsoft.Word\\WebArchiveCopyPasteTempFiles\\page1image63249104" \* MERGEFORMAT </w:instrText>
      </w:r>
      <w:r w:rsidR="00EA7A00">
        <w:rPr>
          <w:rFonts w:ascii="Arial" w:hAnsi="Arial" w:cs="Arial"/>
        </w:rPr>
        <w:fldChar w:fldCharType="separate"/>
      </w:r>
      <w:r w:rsidRPr="009E31A5">
        <w:rPr>
          <w:rFonts w:ascii="Arial" w:hAnsi="Arial" w:cs="Arial"/>
        </w:rPr>
        <w:fldChar w:fldCharType="end"/>
      </w:r>
      <w:r w:rsidRPr="009E31A5">
        <w:rPr>
          <w:rFonts w:ascii="Arial" w:hAnsi="Arial" w:cs="Arial"/>
        </w:rPr>
        <w:t xml:space="preserve"> </w:t>
      </w:r>
      <w:r w:rsidRPr="009E31A5">
        <w:rPr>
          <w:rFonts w:ascii="Arial" w:hAnsi="Arial" w:cs="Arial"/>
        </w:rPr>
        <w:tab/>
      </w:r>
      <w:r w:rsidRPr="009E31A5">
        <w:rPr>
          <w:rFonts w:ascii="Arial" w:hAnsi="Arial" w:cs="Arial"/>
        </w:rPr>
        <w:tab/>
      </w:r>
      <w:r w:rsidRPr="009E31A5">
        <w:rPr>
          <w:rFonts w:ascii="Arial" w:hAnsi="Arial" w:cs="Arial"/>
        </w:rPr>
        <w:tab/>
      </w:r>
      <w:r w:rsidRPr="009E31A5">
        <w:rPr>
          <w:rFonts w:ascii="Arial" w:hAnsi="Arial" w:cs="Arial"/>
        </w:rPr>
        <w:tab/>
      </w:r>
      <w:r w:rsidRPr="009E31A5">
        <w:rPr>
          <w:rFonts w:ascii="Arial" w:hAnsi="Arial" w:cs="Arial"/>
        </w:rPr>
        <w:tab/>
      </w:r>
    </w:p>
    <w:p w14:paraId="31C73678" w14:textId="3E2292CC" w:rsidR="006E3829" w:rsidRPr="009E31A5" w:rsidRDefault="00DC4CCE" w:rsidP="00DC4CCE">
      <w:pPr>
        <w:jc w:val="both"/>
        <w:rPr>
          <w:rFonts w:ascii="Arial" w:hAnsi="Arial" w:cs="Arial"/>
          <w:sz w:val="22"/>
          <w:szCs w:val="22"/>
        </w:rPr>
      </w:pPr>
      <w:r w:rsidRPr="009E31A5">
        <w:rPr>
          <w:rFonts w:ascii="Arial" w:hAnsi="Arial" w:cs="Arial"/>
          <w:sz w:val="22"/>
          <w:szCs w:val="22"/>
        </w:rPr>
        <w:t xml:space="preserve">Maria Helena Padron Zuñiga </w:t>
      </w:r>
      <w:r w:rsidR="006E3829" w:rsidRPr="009E31A5">
        <w:rPr>
          <w:rFonts w:ascii="Arial" w:hAnsi="Arial" w:cs="Arial"/>
          <w:sz w:val="22"/>
          <w:szCs w:val="22"/>
        </w:rPr>
        <w:tab/>
      </w:r>
      <w:r w:rsidR="006E3829" w:rsidRPr="009E31A5">
        <w:rPr>
          <w:rFonts w:ascii="Arial" w:hAnsi="Arial" w:cs="Arial"/>
          <w:sz w:val="22"/>
          <w:szCs w:val="22"/>
        </w:rPr>
        <w:tab/>
      </w:r>
      <w:r w:rsidR="006E3829" w:rsidRPr="009E31A5">
        <w:rPr>
          <w:rFonts w:ascii="Arial" w:hAnsi="Arial" w:cs="Arial"/>
          <w:sz w:val="22"/>
          <w:szCs w:val="22"/>
        </w:rPr>
        <w:tab/>
      </w:r>
      <w:r w:rsidR="00AE66D0" w:rsidRPr="009E31A5">
        <w:rPr>
          <w:rFonts w:ascii="Arial" w:hAnsi="Arial" w:cs="Arial"/>
          <w:sz w:val="22"/>
          <w:szCs w:val="22"/>
        </w:rPr>
        <w:t>José</w:t>
      </w:r>
      <w:r w:rsidRPr="009E31A5">
        <w:rPr>
          <w:rFonts w:ascii="Arial" w:hAnsi="Arial" w:cs="Arial"/>
          <w:sz w:val="22"/>
          <w:szCs w:val="22"/>
        </w:rPr>
        <w:t xml:space="preserve"> Antonio </w:t>
      </w:r>
      <w:r w:rsidR="00AE66D0" w:rsidRPr="009E31A5">
        <w:rPr>
          <w:rFonts w:ascii="Arial" w:hAnsi="Arial" w:cs="Arial"/>
          <w:sz w:val="22"/>
          <w:szCs w:val="22"/>
        </w:rPr>
        <w:t>García</w:t>
      </w:r>
      <w:r w:rsidRPr="009E31A5">
        <w:rPr>
          <w:rFonts w:ascii="Arial" w:hAnsi="Arial" w:cs="Arial"/>
          <w:sz w:val="22"/>
          <w:szCs w:val="22"/>
        </w:rPr>
        <w:t xml:space="preserve"> Quiroga</w:t>
      </w:r>
    </w:p>
    <w:p w14:paraId="3E14AC3D" w14:textId="2678C2A2" w:rsidR="00595BB4" w:rsidRPr="009E31A5" w:rsidRDefault="00DC4CCE" w:rsidP="00301223">
      <w:pPr>
        <w:jc w:val="both"/>
        <w:rPr>
          <w:rFonts w:ascii="Arial" w:hAnsi="Arial" w:cs="Arial"/>
          <w:sz w:val="22"/>
          <w:szCs w:val="22"/>
        </w:rPr>
      </w:pPr>
      <w:r w:rsidRPr="009E31A5">
        <w:rPr>
          <w:rFonts w:ascii="Arial" w:hAnsi="Arial" w:cs="Arial"/>
          <w:sz w:val="22"/>
          <w:szCs w:val="22"/>
        </w:rPr>
        <w:t>Profesional</w:t>
      </w:r>
      <w:r w:rsidR="006E3829" w:rsidRPr="009E31A5">
        <w:rPr>
          <w:rFonts w:ascii="Arial" w:hAnsi="Arial" w:cs="Arial"/>
          <w:sz w:val="22"/>
          <w:szCs w:val="22"/>
        </w:rPr>
        <w:t xml:space="preserve"> Especializado II</w:t>
      </w:r>
      <w:r w:rsidR="006E3829" w:rsidRPr="009E31A5">
        <w:rPr>
          <w:rFonts w:ascii="Arial" w:hAnsi="Arial" w:cs="Arial"/>
          <w:sz w:val="22"/>
          <w:szCs w:val="22"/>
        </w:rPr>
        <w:tab/>
      </w:r>
      <w:r w:rsidR="006E3829" w:rsidRPr="009E31A5">
        <w:rPr>
          <w:rFonts w:ascii="Arial" w:hAnsi="Arial" w:cs="Arial"/>
          <w:sz w:val="22"/>
          <w:szCs w:val="22"/>
        </w:rPr>
        <w:tab/>
      </w:r>
      <w:r w:rsidR="006E3829" w:rsidRPr="009E31A5">
        <w:rPr>
          <w:rFonts w:ascii="Arial" w:hAnsi="Arial" w:cs="Arial"/>
          <w:sz w:val="22"/>
          <w:szCs w:val="22"/>
        </w:rPr>
        <w:tab/>
      </w:r>
      <w:r w:rsidR="006E3829" w:rsidRPr="009E31A5">
        <w:rPr>
          <w:rFonts w:ascii="Arial" w:hAnsi="Arial" w:cs="Arial"/>
          <w:sz w:val="22"/>
          <w:szCs w:val="22"/>
        </w:rPr>
        <w:tab/>
        <w:t>Profesional Especializado II</w:t>
      </w:r>
    </w:p>
    <w:p w14:paraId="3527E13B" w14:textId="77777777" w:rsidR="009D4A0E" w:rsidRPr="009E31A5" w:rsidRDefault="009D4A0E" w:rsidP="009D4A0E">
      <w:pPr>
        <w:rPr>
          <w:rFonts w:ascii="Arial" w:hAnsi="Arial" w:cs="Arial"/>
        </w:rPr>
      </w:pPr>
    </w:p>
    <w:p w14:paraId="37E07ADF" w14:textId="77777777" w:rsidR="003839D4" w:rsidRPr="009E31A5" w:rsidRDefault="003839D4" w:rsidP="009D4A0E">
      <w:pPr>
        <w:rPr>
          <w:rFonts w:ascii="Arial" w:hAnsi="Arial" w:cs="Arial"/>
        </w:rPr>
      </w:pPr>
    </w:p>
    <w:p w14:paraId="737F6722" w14:textId="109F5BF4" w:rsidR="00943F31" w:rsidRDefault="003839D4" w:rsidP="00727DE8">
      <w:pPr>
        <w:pStyle w:val="paragraph"/>
        <w:spacing w:before="0" w:beforeAutospacing="0" w:after="0" w:afterAutospacing="0"/>
        <w:jc w:val="center"/>
        <w:textAlignment w:val="baseline"/>
        <w:rPr>
          <w:rStyle w:val="eop"/>
          <w:rFonts w:ascii="Arial" w:hAnsi="Arial" w:cs="Arial"/>
          <w:sz w:val="22"/>
          <w:szCs w:val="22"/>
        </w:rPr>
      </w:pPr>
      <w:r w:rsidRPr="009E31A5">
        <w:rPr>
          <w:rStyle w:val="eop"/>
          <w:rFonts w:ascii="Arial" w:hAnsi="Arial" w:cs="Arial"/>
          <w:sz w:val="22"/>
          <w:szCs w:val="22"/>
        </w:rPr>
        <w:t> </w:t>
      </w:r>
    </w:p>
    <w:p w14:paraId="1AC2B620" w14:textId="456B13B9" w:rsidR="003839D4" w:rsidRPr="009E31A5" w:rsidRDefault="003839D4" w:rsidP="009D4A0E">
      <w:pPr>
        <w:rPr>
          <w:rFonts w:ascii="Arial" w:hAnsi="Arial" w:cs="Arial"/>
        </w:rPr>
        <w:sectPr w:rsidR="003839D4" w:rsidRPr="009E31A5" w:rsidSect="00853EB6">
          <w:headerReference w:type="default" r:id="rId16"/>
          <w:footerReference w:type="default" r:id="rId17"/>
          <w:pgSz w:w="11906" w:h="16838"/>
          <w:pgMar w:top="1701" w:right="1701" w:bottom="1797" w:left="1701" w:header="709" w:footer="709" w:gutter="0"/>
          <w:cols w:space="708"/>
          <w:docGrid w:linePitch="360"/>
        </w:sectPr>
      </w:pPr>
    </w:p>
    <w:p w14:paraId="1A786574" w14:textId="31161A11" w:rsidR="00BC4504" w:rsidRPr="00BC4504" w:rsidRDefault="00BC4504" w:rsidP="00BC4504">
      <w:pPr>
        <w:jc w:val="center"/>
        <w:rPr>
          <w:rFonts w:ascii="Arial" w:hAnsi="Arial" w:cs="Arial"/>
          <w:b/>
          <w:bCs/>
        </w:rPr>
      </w:pPr>
      <w:r w:rsidRPr="00BC4504">
        <w:rPr>
          <w:rFonts w:ascii="Arial" w:hAnsi="Arial" w:cs="Arial"/>
          <w:b/>
          <w:bCs/>
        </w:rPr>
        <w:lastRenderedPageBreak/>
        <w:t>ANEXO 1</w:t>
      </w:r>
    </w:p>
    <w:p w14:paraId="17D8D72E" w14:textId="4AF48D44" w:rsidR="00BC4504" w:rsidRPr="00BC4504" w:rsidRDefault="00BC4504" w:rsidP="00BC4504">
      <w:pPr>
        <w:jc w:val="center"/>
        <w:rPr>
          <w:rFonts w:ascii="Arial" w:hAnsi="Arial" w:cs="Arial"/>
          <w:b/>
          <w:bCs/>
        </w:rPr>
      </w:pPr>
      <w:r w:rsidRPr="00BC4504">
        <w:rPr>
          <w:rFonts w:ascii="Arial" w:hAnsi="Arial" w:cs="Arial"/>
          <w:b/>
          <w:bCs/>
        </w:rPr>
        <w:t>FORMULACIÓN PLAN DE MEJORAMIENTO CGR AUDITORÍA FINANCIERA VIGENCIA 2022</w:t>
      </w:r>
    </w:p>
    <w:p w14:paraId="74C3B07D" w14:textId="77777777" w:rsidR="00BC4504" w:rsidRPr="009E31A5" w:rsidRDefault="00BC4504" w:rsidP="00BC4504">
      <w:pPr>
        <w:jc w:val="center"/>
        <w:rPr>
          <w:rFonts w:ascii="Arial" w:hAnsi="Arial" w:cs="Arial"/>
        </w:rPr>
      </w:pPr>
      <w:r w:rsidRPr="009E31A5">
        <w:rPr>
          <w:rFonts w:ascii="Arial" w:hAnsi="Arial" w:cs="Arial"/>
        </w:rPr>
        <w:t xml:space="preserve">Informe presentado a la Contraloría General de la República </w:t>
      </w:r>
    </w:p>
    <w:p w14:paraId="12568EC5" w14:textId="77777777" w:rsidR="00BC4504" w:rsidRPr="009E31A5" w:rsidRDefault="00BC4504" w:rsidP="00BC4504">
      <w:pPr>
        <w:jc w:val="center"/>
        <w:rPr>
          <w:rFonts w:ascii="Arial" w:hAnsi="Arial" w:cs="Arial"/>
        </w:rPr>
      </w:pPr>
      <w:r w:rsidRPr="009E31A5">
        <w:rPr>
          <w:rFonts w:ascii="Arial" w:hAnsi="Arial" w:cs="Arial"/>
        </w:rPr>
        <w:t xml:space="preserve">Entidad: Fiscalía General de la Nación </w:t>
      </w:r>
    </w:p>
    <w:p w14:paraId="1DAFC9A6" w14:textId="77777777" w:rsidR="00BC4504" w:rsidRPr="009E31A5" w:rsidRDefault="00BC4504" w:rsidP="00BC4504">
      <w:pPr>
        <w:jc w:val="center"/>
        <w:rPr>
          <w:rFonts w:ascii="Arial" w:hAnsi="Arial" w:cs="Arial"/>
        </w:rPr>
      </w:pPr>
      <w:r w:rsidRPr="009E31A5">
        <w:rPr>
          <w:rFonts w:ascii="Arial" w:hAnsi="Arial" w:cs="Arial"/>
        </w:rPr>
        <w:t xml:space="preserve">Representante Legal: FRANCISCO ROBERTO BARBOSA DELGADO </w:t>
      </w:r>
    </w:p>
    <w:p w14:paraId="7BD7B3FA" w14:textId="77777777" w:rsidR="00BC4504" w:rsidRPr="009E31A5" w:rsidRDefault="00BC4504" w:rsidP="00BC4504">
      <w:pPr>
        <w:jc w:val="center"/>
        <w:rPr>
          <w:rFonts w:ascii="Arial" w:hAnsi="Arial" w:cs="Arial"/>
        </w:rPr>
      </w:pPr>
      <w:r w:rsidRPr="009E31A5">
        <w:rPr>
          <w:rFonts w:ascii="Arial" w:hAnsi="Arial" w:cs="Arial"/>
        </w:rPr>
        <w:t xml:space="preserve">Cargo: Fiscal General de la Nación </w:t>
      </w:r>
    </w:p>
    <w:p w14:paraId="1D207363" w14:textId="2A905D35" w:rsidR="00BC4504" w:rsidRPr="009E31A5" w:rsidRDefault="00BC4504" w:rsidP="00BC4504">
      <w:pPr>
        <w:jc w:val="center"/>
        <w:rPr>
          <w:rFonts w:ascii="Arial" w:hAnsi="Arial" w:cs="Arial"/>
        </w:rPr>
      </w:pPr>
      <w:r w:rsidRPr="009E31A5">
        <w:rPr>
          <w:rFonts w:ascii="Arial" w:hAnsi="Arial" w:cs="Arial"/>
        </w:rPr>
        <w:t xml:space="preserve">Modalidad de Auditoría: Regular vigencia </w:t>
      </w:r>
      <w:r>
        <w:rPr>
          <w:rFonts w:ascii="Arial" w:hAnsi="Arial" w:cs="Arial"/>
        </w:rPr>
        <w:t>2022</w:t>
      </w:r>
    </w:p>
    <w:p w14:paraId="1EC80ACC" w14:textId="2AD010FC" w:rsidR="00BC4504" w:rsidRDefault="00BC4504">
      <w:pPr>
        <w:rPr>
          <w:rFonts w:ascii="Arial" w:hAnsi="Arial" w:cs="Arial"/>
        </w:rPr>
      </w:pPr>
    </w:p>
    <w:tbl>
      <w:tblPr>
        <w:tblW w:w="15565" w:type="dxa"/>
        <w:jc w:val="center"/>
        <w:tblCellMar>
          <w:left w:w="70" w:type="dxa"/>
          <w:right w:w="70" w:type="dxa"/>
        </w:tblCellMar>
        <w:tblLook w:val="04A0" w:firstRow="1" w:lastRow="0" w:firstColumn="1" w:lastColumn="0" w:noHBand="0" w:noVBand="1"/>
      </w:tblPr>
      <w:tblGrid>
        <w:gridCol w:w="1539"/>
        <w:gridCol w:w="2748"/>
        <w:gridCol w:w="1675"/>
        <w:gridCol w:w="1545"/>
        <w:gridCol w:w="1813"/>
        <w:gridCol w:w="1297"/>
        <w:gridCol w:w="1113"/>
        <w:gridCol w:w="963"/>
        <w:gridCol w:w="1127"/>
        <w:gridCol w:w="1745"/>
      </w:tblGrid>
      <w:tr w:rsidR="00CD68E6" w:rsidRPr="001B6060" w14:paraId="4E2A4DCD" w14:textId="77777777" w:rsidTr="001B6060">
        <w:trPr>
          <w:trHeight w:val="765"/>
          <w:tblHeader/>
          <w:jc w:val="center"/>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61259" w14:textId="03BC6661" w:rsidR="001B6060" w:rsidRPr="001B6060" w:rsidRDefault="00BC4504" w:rsidP="001B6060">
            <w:pPr>
              <w:jc w:val="center"/>
              <w:rPr>
                <w:rFonts w:ascii="Arial" w:eastAsia="Times New Roman" w:hAnsi="Arial" w:cs="Arial"/>
                <w:b/>
                <w:bCs/>
                <w:sz w:val="16"/>
                <w:szCs w:val="16"/>
                <w:lang w:eastAsia="es-CO"/>
              </w:rPr>
            </w:pPr>
            <w:r>
              <w:rPr>
                <w:rFonts w:ascii="Arial" w:hAnsi="Arial" w:cs="Arial"/>
              </w:rPr>
              <w:br w:type="page"/>
            </w:r>
            <w:bookmarkStart w:id="1" w:name="RANGE!A1:J21"/>
            <w:r w:rsidR="001B6060" w:rsidRPr="001B6060">
              <w:rPr>
                <w:rFonts w:ascii="Arial" w:eastAsia="Times New Roman" w:hAnsi="Arial" w:cs="Arial"/>
                <w:b/>
                <w:bCs/>
                <w:sz w:val="16"/>
                <w:szCs w:val="16"/>
                <w:lang w:eastAsia="es-CO"/>
              </w:rPr>
              <w:t>Título hallazgo</w:t>
            </w:r>
            <w:bookmarkEnd w:id="1"/>
          </w:p>
        </w:tc>
        <w:tc>
          <w:tcPr>
            <w:tcW w:w="2836" w:type="dxa"/>
            <w:tcBorders>
              <w:top w:val="single" w:sz="4" w:space="0" w:color="auto"/>
              <w:left w:val="nil"/>
              <w:bottom w:val="single" w:sz="4" w:space="0" w:color="auto"/>
              <w:right w:val="single" w:sz="4" w:space="0" w:color="auto"/>
            </w:tcBorders>
            <w:shd w:val="clear" w:color="auto" w:fill="auto"/>
            <w:vAlign w:val="center"/>
            <w:hideMark/>
          </w:tcPr>
          <w:p w14:paraId="6D3AEB2C" w14:textId="77777777" w:rsidR="001B6060" w:rsidRPr="001B6060" w:rsidRDefault="001B6060" w:rsidP="001B6060">
            <w:pPr>
              <w:jc w:val="center"/>
              <w:rPr>
                <w:rFonts w:ascii="Arial" w:eastAsia="Times New Roman" w:hAnsi="Arial" w:cs="Arial"/>
                <w:b/>
                <w:bCs/>
                <w:sz w:val="16"/>
                <w:szCs w:val="16"/>
                <w:lang w:eastAsia="es-CO"/>
              </w:rPr>
            </w:pPr>
            <w:r w:rsidRPr="001B6060">
              <w:rPr>
                <w:rFonts w:ascii="Arial" w:eastAsia="Times New Roman" w:hAnsi="Arial" w:cs="Arial"/>
                <w:b/>
                <w:bCs/>
                <w:sz w:val="16"/>
                <w:szCs w:val="16"/>
                <w:lang w:eastAsia="es-CO"/>
              </w:rPr>
              <w:t>Descripción hallazgo</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85CE728" w14:textId="77777777" w:rsidR="001B6060" w:rsidRPr="001B6060" w:rsidRDefault="001B6060" w:rsidP="001B6060">
            <w:pPr>
              <w:jc w:val="center"/>
              <w:rPr>
                <w:rFonts w:ascii="Arial" w:eastAsia="Times New Roman" w:hAnsi="Arial" w:cs="Arial"/>
                <w:b/>
                <w:bCs/>
                <w:sz w:val="16"/>
                <w:szCs w:val="16"/>
                <w:lang w:eastAsia="es-CO"/>
              </w:rPr>
            </w:pPr>
            <w:r w:rsidRPr="001B6060">
              <w:rPr>
                <w:rFonts w:ascii="Arial" w:eastAsia="Times New Roman" w:hAnsi="Arial" w:cs="Arial"/>
                <w:b/>
                <w:bCs/>
                <w:sz w:val="16"/>
                <w:szCs w:val="16"/>
                <w:lang w:eastAsia="es-CO"/>
              </w:rPr>
              <w:t>Causa del hallazgo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F1C99DC" w14:textId="77777777" w:rsidR="001B6060" w:rsidRPr="001B6060" w:rsidRDefault="001B6060" w:rsidP="001B6060">
            <w:pPr>
              <w:jc w:val="center"/>
              <w:rPr>
                <w:rFonts w:ascii="Arial" w:eastAsia="Times New Roman" w:hAnsi="Arial" w:cs="Arial"/>
                <w:b/>
                <w:bCs/>
                <w:sz w:val="16"/>
                <w:szCs w:val="16"/>
                <w:lang w:eastAsia="es-CO"/>
              </w:rPr>
            </w:pPr>
            <w:r w:rsidRPr="001B6060">
              <w:rPr>
                <w:rFonts w:ascii="Arial" w:eastAsia="Times New Roman" w:hAnsi="Arial" w:cs="Arial"/>
                <w:b/>
                <w:bCs/>
                <w:sz w:val="16"/>
                <w:szCs w:val="16"/>
                <w:lang w:eastAsia="es-CO"/>
              </w:rPr>
              <w:t>Acción de mejora</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14:paraId="37476CD5" w14:textId="77777777" w:rsidR="001B6060" w:rsidRPr="001B6060" w:rsidRDefault="001B6060" w:rsidP="001B6060">
            <w:pPr>
              <w:jc w:val="center"/>
              <w:rPr>
                <w:rFonts w:ascii="Arial" w:eastAsia="Times New Roman" w:hAnsi="Arial" w:cs="Arial"/>
                <w:b/>
                <w:bCs/>
                <w:sz w:val="16"/>
                <w:szCs w:val="16"/>
                <w:lang w:eastAsia="es-CO"/>
              </w:rPr>
            </w:pPr>
            <w:r w:rsidRPr="001B6060">
              <w:rPr>
                <w:rFonts w:ascii="Arial" w:eastAsia="Times New Roman" w:hAnsi="Arial" w:cs="Arial"/>
                <w:b/>
                <w:bCs/>
                <w:sz w:val="16"/>
                <w:szCs w:val="16"/>
                <w:lang w:eastAsia="es-CO"/>
              </w:rPr>
              <w:t>Actividades / Descripción</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4A26EE09" w14:textId="77777777" w:rsidR="001B6060" w:rsidRPr="001B6060" w:rsidRDefault="001B6060" w:rsidP="001B6060">
            <w:pPr>
              <w:jc w:val="center"/>
              <w:rPr>
                <w:rFonts w:ascii="Arial" w:eastAsia="Times New Roman" w:hAnsi="Arial" w:cs="Arial"/>
                <w:b/>
                <w:bCs/>
                <w:sz w:val="16"/>
                <w:szCs w:val="16"/>
                <w:lang w:eastAsia="es-CO"/>
              </w:rPr>
            </w:pPr>
            <w:r w:rsidRPr="001B6060">
              <w:rPr>
                <w:rFonts w:ascii="Arial" w:eastAsia="Times New Roman" w:hAnsi="Arial" w:cs="Arial"/>
                <w:b/>
                <w:bCs/>
                <w:sz w:val="16"/>
                <w:szCs w:val="16"/>
                <w:lang w:eastAsia="es-CO"/>
              </w:rPr>
              <w:t>Actividades unidad de medida</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5286B41F" w14:textId="77777777" w:rsidR="001B6060" w:rsidRPr="001B6060" w:rsidRDefault="001B6060" w:rsidP="001B6060">
            <w:pPr>
              <w:jc w:val="center"/>
              <w:rPr>
                <w:rFonts w:ascii="Arial" w:eastAsia="Times New Roman" w:hAnsi="Arial" w:cs="Arial"/>
                <w:b/>
                <w:bCs/>
                <w:sz w:val="16"/>
                <w:szCs w:val="16"/>
                <w:lang w:eastAsia="es-CO"/>
              </w:rPr>
            </w:pPr>
            <w:r w:rsidRPr="001B6060">
              <w:rPr>
                <w:rFonts w:ascii="Arial" w:eastAsia="Times New Roman" w:hAnsi="Arial" w:cs="Arial"/>
                <w:b/>
                <w:bCs/>
                <w:sz w:val="16"/>
                <w:szCs w:val="16"/>
                <w:lang w:eastAsia="es-CO"/>
              </w:rPr>
              <w:t>Actividades cantidad unidad medida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4B8F5D6" w14:textId="77777777" w:rsidR="001B6060" w:rsidRPr="001B6060" w:rsidRDefault="001B6060" w:rsidP="001B6060">
            <w:pPr>
              <w:jc w:val="center"/>
              <w:rPr>
                <w:rFonts w:ascii="Arial" w:eastAsia="Times New Roman" w:hAnsi="Arial" w:cs="Arial"/>
                <w:b/>
                <w:bCs/>
                <w:sz w:val="16"/>
                <w:szCs w:val="16"/>
                <w:lang w:eastAsia="es-CO"/>
              </w:rPr>
            </w:pPr>
            <w:r w:rsidRPr="001B6060">
              <w:rPr>
                <w:rFonts w:ascii="Arial" w:eastAsia="Times New Roman" w:hAnsi="Arial" w:cs="Arial"/>
                <w:b/>
                <w:bCs/>
                <w:sz w:val="16"/>
                <w:szCs w:val="16"/>
                <w:lang w:eastAsia="es-CO"/>
              </w:rPr>
              <w:t>Fecha inicio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BBCDCA" w14:textId="77777777" w:rsidR="001B6060" w:rsidRPr="001B6060" w:rsidRDefault="001B6060" w:rsidP="001B6060">
            <w:pPr>
              <w:jc w:val="center"/>
              <w:rPr>
                <w:rFonts w:ascii="Arial" w:eastAsia="Times New Roman" w:hAnsi="Arial" w:cs="Arial"/>
                <w:b/>
                <w:bCs/>
                <w:sz w:val="16"/>
                <w:szCs w:val="16"/>
                <w:lang w:eastAsia="es-CO"/>
              </w:rPr>
            </w:pPr>
            <w:r w:rsidRPr="001B6060">
              <w:rPr>
                <w:rFonts w:ascii="Arial" w:eastAsia="Times New Roman" w:hAnsi="Arial" w:cs="Arial"/>
                <w:b/>
                <w:bCs/>
                <w:sz w:val="16"/>
                <w:szCs w:val="16"/>
                <w:lang w:eastAsia="es-CO"/>
              </w:rPr>
              <w:t>Fecha terminación</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DD276F4" w14:textId="77777777" w:rsidR="001B6060" w:rsidRPr="001B6060" w:rsidRDefault="001B6060" w:rsidP="001B6060">
            <w:pPr>
              <w:jc w:val="center"/>
              <w:rPr>
                <w:rFonts w:ascii="Arial" w:eastAsia="Times New Roman" w:hAnsi="Arial" w:cs="Arial"/>
                <w:b/>
                <w:bCs/>
                <w:sz w:val="16"/>
                <w:szCs w:val="16"/>
                <w:lang w:eastAsia="es-CO"/>
              </w:rPr>
            </w:pPr>
            <w:r w:rsidRPr="001B6060">
              <w:rPr>
                <w:rFonts w:ascii="Arial" w:eastAsia="Times New Roman" w:hAnsi="Arial" w:cs="Arial"/>
                <w:b/>
                <w:bCs/>
                <w:sz w:val="16"/>
                <w:szCs w:val="16"/>
                <w:lang w:eastAsia="es-CO"/>
              </w:rPr>
              <w:t>Actividad plazo semanas</w:t>
            </w:r>
          </w:p>
        </w:tc>
      </w:tr>
      <w:tr w:rsidR="001B6060" w:rsidRPr="001B6060" w14:paraId="3E79B894" w14:textId="77777777" w:rsidTr="001B6060">
        <w:trPr>
          <w:trHeight w:val="2191"/>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47F77F2C"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 Faltantes de Bienes. (F) (D)</w:t>
            </w:r>
          </w:p>
        </w:tc>
        <w:tc>
          <w:tcPr>
            <w:tcW w:w="2836" w:type="dxa"/>
            <w:tcBorders>
              <w:top w:val="nil"/>
              <w:left w:val="nil"/>
              <w:bottom w:val="single" w:sz="4" w:space="0" w:color="auto"/>
              <w:right w:val="single" w:sz="4" w:space="0" w:color="auto"/>
            </w:tcBorders>
            <w:shd w:val="clear" w:color="auto" w:fill="auto"/>
            <w:vAlign w:val="center"/>
            <w:hideMark/>
          </w:tcPr>
          <w:p w14:paraId="7CD6A2AF"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Verificadas las actas y datos de almacén en SIAF de la Seccional Sucre a 31-12-2022, no se encontraron 62 elementos por </w:t>
            </w:r>
            <w:proofErr w:type="spellStart"/>
            <w:r w:rsidRPr="001B6060">
              <w:rPr>
                <w:rFonts w:ascii="Arial" w:eastAsia="Times New Roman" w:hAnsi="Arial" w:cs="Arial"/>
                <w:sz w:val="16"/>
                <w:szCs w:val="16"/>
                <w:lang w:eastAsia="es-CO"/>
              </w:rPr>
              <w:t>vr</w:t>
            </w:r>
            <w:proofErr w:type="spellEnd"/>
            <w:r w:rsidRPr="001B6060">
              <w:rPr>
                <w:rFonts w:ascii="Arial" w:eastAsia="Times New Roman" w:hAnsi="Arial" w:cs="Arial"/>
                <w:sz w:val="16"/>
                <w:szCs w:val="16"/>
                <w:lang w:eastAsia="es-CO"/>
              </w:rPr>
              <w:t xml:space="preserve"> de $8.722.709, faltante de la evaluación a los inventarios que fueron remitidos al Nivel Central el 30-01-2020 y que no se han legalizado al no tener certificación de recibo de los bienes, de acuerdo a lo analizado verificado y registrado en el acta de inventario.</w:t>
            </w:r>
          </w:p>
        </w:tc>
        <w:tc>
          <w:tcPr>
            <w:tcW w:w="1700" w:type="dxa"/>
            <w:tcBorders>
              <w:top w:val="nil"/>
              <w:left w:val="nil"/>
              <w:bottom w:val="single" w:sz="4" w:space="0" w:color="auto"/>
              <w:right w:val="single" w:sz="4" w:space="0" w:color="auto"/>
            </w:tcBorders>
            <w:shd w:val="clear" w:color="auto" w:fill="auto"/>
            <w:vAlign w:val="center"/>
            <w:hideMark/>
          </w:tcPr>
          <w:p w14:paraId="512BFC66"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en los mecanismos de control de las existencias de los bienes en bodega.</w:t>
            </w:r>
          </w:p>
        </w:tc>
        <w:tc>
          <w:tcPr>
            <w:tcW w:w="1559" w:type="dxa"/>
            <w:tcBorders>
              <w:top w:val="nil"/>
              <w:left w:val="nil"/>
              <w:bottom w:val="single" w:sz="4" w:space="0" w:color="auto"/>
              <w:right w:val="single" w:sz="4" w:space="0" w:color="auto"/>
            </w:tcBorders>
            <w:shd w:val="clear" w:color="auto" w:fill="auto"/>
            <w:vAlign w:val="center"/>
            <w:hideMark/>
          </w:tcPr>
          <w:p w14:paraId="1F7EB364" w14:textId="6D9A4342" w:rsidR="001B6060" w:rsidRPr="001B6060" w:rsidRDefault="00E64695"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identificación</w:t>
            </w:r>
            <w:r w:rsidR="001B6060" w:rsidRPr="001B6060">
              <w:rPr>
                <w:rFonts w:ascii="Arial" w:eastAsia="Times New Roman" w:hAnsi="Arial" w:cs="Arial"/>
                <w:sz w:val="16"/>
                <w:szCs w:val="16"/>
                <w:lang w:eastAsia="es-CO"/>
              </w:rPr>
              <w:t xml:space="preserve"> y ubicación de los elementos entregados</w:t>
            </w:r>
          </w:p>
        </w:tc>
        <w:tc>
          <w:tcPr>
            <w:tcW w:w="1844" w:type="dxa"/>
            <w:tcBorders>
              <w:top w:val="nil"/>
              <w:left w:val="nil"/>
              <w:bottom w:val="single" w:sz="4" w:space="0" w:color="auto"/>
              <w:right w:val="single" w:sz="4" w:space="0" w:color="auto"/>
            </w:tcBorders>
            <w:shd w:val="clear" w:color="auto" w:fill="auto"/>
            <w:vAlign w:val="center"/>
            <w:hideMark/>
          </w:tcPr>
          <w:p w14:paraId="5AB4D11A"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Identificación de los elementos entregados por la Seccional Sucre al Nivel Central, dejando trazabilidad de los elementos pendientes por ubicar. </w:t>
            </w:r>
          </w:p>
        </w:tc>
        <w:tc>
          <w:tcPr>
            <w:tcW w:w="1011" w:type="dxa"/>
            <w:tcBorders>
              <w:top w:val="nil"/>
              <w:left w:val="nil"/>
              <w:bottom w:val="single" w:sz="4" w:space="0" w:color="auto"/>
              <w:right w:val="single" w:sz="4" w:space="0" w:color="auto"/>
            </w:tcBorders>
            <w:shd w:val="clear" w:color="auto" w:fill="auto"/>
            <w:vAlign w:val="center"/>
            <w:hideMark/>
          </w:tcPr>
          <w:p w14:paraId="65C6C11D"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acta firmada</w:t>
            </w:r>
          </w:p>
        </w:tc>
        <w:tc>
          <w:tcPr>
            <w:tcW w:w="1119" w:type="dxa"/>
            <w:tcBorders>
              <w:top w:val="nil"/>
              <w:left w:val="nil"/>
              <w:bottom w:val="single" w:sz="4" w:space="0" w:color="auto"/>
              <w:right w:val="single" w:sz="4" w:space="0" w:color="auto"/>
            </w:tcBorders>
            <w:shd w:val="clear" w:color="auto" w:fill="auto"/>
            <w:vAlign w:val="center"/>
            <w:hideMark/>
          </w:tcPr>
          <w:p w14:paraId="14EB5A3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23F1B4C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2023-07-01</w:t>
            </w:r>
          </w:p>
        </w:tc>
        <w:tc>
          <w:tcPr>
            <w:tcW w:w="1134" w:type="dxa"/>
            <w:tcBorders>
              <w:top w:val="nil"/>
              <w:left w:val="nil"/>
              <w:bottom w:val="single" w:sz="4" w:space="0" w:color="auto"/>
              <w:right w:val="single" w:sz="4" w:space="0" w:color="auto"/>
            </w:tcBorders>
            <w:shd w:val="clear" w:color="auto" w:fill="auto"/>
            <w:vAlign w:val="center"/>
            <w:hideMark/>
          </w:tcPr>
          <w:p w14:paraId="0AB1B96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816" w:type="dxa"/>
            <w:tcBorders>
              <w:top w:val="nil"/>
              <w:left w:val="nil"/>
              <w:bottom w:val="single" w:sz="4" w:space="0" w:color="auto"/>
              <w:right w:val="single" w:sz="4" w:space="0" w:color="auto"/>
            </w:tcBorders>
            <w:shd w:val="clear" w:color="000000" w:fill="FFFFFF"/>
            <w:vAlign w:val="center"/>
            <w:hideMark/>
          </w:tcPr>
          <w:p w14:paraId="5F2235E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4,43</w:t>
            </w:r>
          </w:p>
        </w:tc>
      </w:tr>
      <w:tr w:rsidR="001B6060" w:rsidRPr="001B6060" w14:paraId="772205A5" w14:textId="77777777" w:rsidTr="001B6060">
        <w:trPr>
          <w:trHeight w:val="205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EAAD650"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 Faltantes de Bienes. (F) (D)</w:t>
            </w:r>
          </w:p>
        </w:tc>
        <w:tc>
          <w:tcPr>
            <w:tcW w:w="2836" w:type="dxa"/>
            <w:tcBorders>
              <w:top w:val="nil"/>
              <w:left w:val="nil"/>
              <w:bottom w:val="single" w:sz="4" w:space="0" w:color="auto"/>
              <w:right w:val="single" w:sz="4" w:space="0" w:color="auto"/>
            </w:tcBorders>
            <w:shd w:val="clear" w:color="auto" w:fill="auto"/>
            <w:vAlign w:val="center"/>
            <w:hideMark/>
          </w:tcPr>
          <w:p w14:paraId="5AEC9F04"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Verificadas las actas y datos de almacén en SIAF de la Seccional Sucre a 31-12-2022, no se encontraron 62 elementos por </w:t>
            </w:r>
            <w:proofErr w:type="spellStart"/>
            <w:r w:rsidRPr="001B6060">
              <w:rPr>
                <w:rFonts w:ascii="Arial" w:eastAsia="Times New Roman" w:hAnsi="Arial" w:cs="Arial"/>
                <w:sz w:val="16"/>
                <w:szCs w:val="16"/>
                <w:lang w:eastAsia="es-CO"/>
              </w:rPr>
              <w:t>vr</w:t>
            </w:r>
            <w:proofErr w:type="spellEnd"/>
            <w:r w:rsidRPr="001B6060">
              <w:rPr>
                <w:rFonts w:ascii="Arial" w:eastAsia="Times New Roman" w:hAnsi="Arial" w:cs="Arial"/>
                <w:sz w:val="16"/>
                <w:szCs w:val="16"/>
                <w:lang w:eastAsia="es-CO"/>
              </w:rPr>
              <w:t xml:space="preserve"> de $8.722.709, faltante de la evaluación a los inventarios que fueron remitidos al Nivel Central el 30-01-2020 y que no se han legalizado al no tener certificación de recibo de los bienes, de acuerdo a lo analizado verificado y registrado en el acta de inventario.</w:t>
            </w:r>
          </w:p>
        </w:tc>
        <w:tc>
          <w:tcPr>
            <w:tcW w:w="1700" w:type="dxa"/>
            <w:tcBorders>
              <w:top w:val="nil"/>
              <w:left w:val="nil"/>
              <w:bottom w:val="single" w:sz="4" w:space="0" w:color="auto"/>
              <w:right w:val="single" w:sz="4" w:space="0" w:color="auto"/>
            </w:tcBorders>
            <w:shd w:val="clear" w:color="auto" w:fill="auto"/>
            <w:vAlign w:val="center"/>
            <w:hideMark/>
          </w:tcPr>
          <w:p w14:paraId="429D4222"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en los mecanismos de control de las existencias de los bienes en bodega.</w:t>
            </w:r>
          </w:p>
        </w:tc>
        <w:tc>
          <w:tcPr>
            <w:tcW w:w="1559" w:type="dxa"/>
            <w:tcBorders>
              <w:top w:val="nil"/>
              <w:left w:val="nil"/>
              <w:bottom w:val="single" w:sz="4" w:space="0" w:color="auto"/>
              <w:right w:val="single" w:sz="4" w:space="0" w:color="auto"/>
            </w:tcBorders>
            <w:shd w:val="clear" w:color="auto" w:fill="auto"/>
            <w:vAlign w:val="center"/>
            <w:hideMark/>
          </w:tcPr>
          <w:p w14:paraId="25FED87D" w14:textId="6EE7742E" w:rsidR="001B6060" w:rsidRPr="001B6060" w:rsidRDefault="00E64695"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identificación</w:t>
            </w:r>
            <w:r w:rsidR="001B6060" w:rsidRPr="001B6060">
              <w:rPr>
                <w:rFonts w:ascii="Arial" w:eastAsia="Times New Roman" w:hAnsi="Arial" w:cs="Arial"/>
                <w:sz w:val="16"/>
                <w:szCs w:val="16"/>
                <w:lang w:eastAsia="es-CO"/>
              </w:rPr>
              <w:t xml:space="preserve"> y ubicación de los elementos entregados</w:t>
            </w:r>
          </w:p>
        </w:tc>
        <w:tc>
          <w:tcPr>
            <w:tcW w:w="1844" w:type="dxa"/>
            <w:tcBorders>
              <w:top w:val="nil"/>
              <w:left w:val="nil"/>
              <w:bottom w:val="single" w:sz="4" w:space="0" w:color="auto"/>
              <w:right w:val="single" w:sz="4" w:space="0" w:color="auto"/>
            </w:tcBorders>
            <w:shd w:val="clear" w:color="auto" w:fill="auto"/>
            <w:vAlign w:val="center"/>
            <w:hideMark/>
          </w:tcPr>
          <w:p w14:paraId="3CC3E77C" w14:textId="63EADE69"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Implementar cronograma de visitas a las sedes del Nivel Central por el DCAS y el DBAI, con el fin de adelantar la </w:t>
            </w:r>
            <w:r w:rsidR="00E64695" w:rsidRPr="001B6060">
              <w:rPr>
                <w:rFonts w:ascii="Arial" w:eastAsia="Times New Roman" w:hAnsi="Arial" w:cs="Arial"/>
                <w:sz w:val="16"/>
                <w:szCs w:val="16"/>
                <w:lang w:eastAsia="es-CO"/>
              </w:rPr>
              <w:t>búsqueda</w:t>
            </w:r>
            <w:r w:rsidRPr="001B6060">
              <w:rPr>
                <w:rFonts w:ascii="Arial" w:eastAsia="Times New Roman" w:hAnsi="Arial" w:cs="Arial"/>
                <w:sz w:val="16"/>
                <w:szCs w:val="16"/>
                <w:lang w:eastAsia="es-CO"/>
              </w:rPr>
              <w:t xml:space="preserve"> e identificación de los elementos pendientes por ubicar</w:t>
            </w:r>
          </w:p>
        </w:tc>
        <w:tc>
          <w:tcPr>
            <w:tcW w:w="1011" w:type="dxa"/>
            <w:tcBorders>
              <w:top w:val="nil"/>
              <w:left w:val="nil"/>
              <w:bottom w:val="single" w:sz="4" w:space="0" w:color="auto"/>
              <w:right w:val="single" w:sz="4" w:space="0" w:color="auto"/>
            </w:tcBorders>
            <w:shd w:val="clear" w:color="auto" w:fill="auto"/>
            <w:vAlign w:val="center"/>
            <w:hideMark/>
          </w:tcPr>
          <w:p w14:paraId="4294631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Cronograma de visitas </w:t>
            </w:r>
          </w:p>
        </w:tc>
        <w:tc>
          <w:tcPr>
            <w:tcW w:w="1119" w:type="dxa"/>
            <w:tcBorders>
              <w:top w:val="nil"/>
              <w:left w:val="nil"/>
              <w:bottom w:val="single" w:sz="4" w:space="0" w:color="auto"/>
              <w:right w:val="single" w:sz="4" w:space="0" w:color="auto"/>
            </w:tcBorders>
            <w:shd w:val="clear" w:color="auto" w:fill="auto"/>
            <w:vAlign w:val="center"/>
            <w:hideMark/>
          </w:tcPr>
          <w:p w14:paraId="51AABB3B"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1DDD97A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2023-08-02</w:t>
            </w:r>
          </w:p>
        </w:tc>
        <w:tc>
          <w:tcPr>
            <w:tcW w:w="1134" w:type="dxa"/>
            <w:tcBorders>
              <w:top w:val="nil"/>
              <w:left w:val="nil"/>
              <w:bottom w:val="single" w:sz="4" w:space="0" w:color="auto"/>
              <w:right w:val="single" w:sz="4" w:space="0" w:color="auto"/>
            </w:tcBorders>
            <w:shd w:val="clear" w:color="auto" w:fill="auto"/>
            <w:vAlign w:val="center"/>
            <w:hideMark/>
          </w:tcPr>
          <w:p w14:paraId="590FDDF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2023-08-15</w:t>
            </w:r>
          </w:p>
        </w:tc>
        <w:tc>
          <w:tcPr>
            <w:tcW w:w="1816" w:type="dxa"/>
            <w:tcBorders>
              <w:top w:val="nil"/>
              <w:left w:val="nil"/>
              <w:bottom w:val="single" w:sz="4" w:space="0" w:color="auto"/>
              <w:right w:val="single" w:sz="4" w:space="0" w:color="auto"/>
            </w:tcBorders>
            <w:shd w:val="clear" w:color="000000" w:fill="FFFFFF"/>
            <w:vAlign w:val="center"/>
            <w:hideMark/>
          </w:tcPr>
          <w:p w14:paraId="50C38068"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1,86</w:t>
            </w:r>
          </w:p>
        </w:tc>
      </w:tr>
      <w:tr w:rsidR="001B6060" w:rsidRPr="001B6060" w14:paraId="1DA0C855" w14:textId="77777777" w:rsidTr="001B6060">
        <w:trPr>
          <w:trHeight w:val="3184"/>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F3F9269"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 Faltantes de Bienes. (F) (D)</w:t>
            </w:r>
          </w:p>
        </w:tc>
        <w:tc>
          <w:tcPr>
            <w:tcW w:w="2836" w:type="dxa"/>
            <w:tcBorders>
              <w:top w:val="nil"/>
              <w:left w:val="nil"/>
              <w:bottom w:val="single" w:sz="4" w:space="0" w:color="auto"/>
              <w:right w:val="single" w:sz="4" w:space="0" w:color="auto"/>
            </w:tcBorders>
            <w:shd w:val="clear" w:color="auto" w:fill="auto"/>
            <w:vAlign w:val="center"/>
            <w:hideMark/>
          </w:tcPr>
          <w:p w14:paraId="74E0AF91"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Verificadas las actas y datos de almacén en SIAF de la Seccional Sucre a 31-12-2022, no se encontraron 62 elementos por </w:t>
            </w:r>
            <w:proofErr w:type="spellStart"/>
            <w:r w:rsidRPr="001B6060">
              <w:rPr>
                <w:rFonts w:ascii="Arial" w:eastAsia="Times New Roman" w:hAnsi="Arial" w:cs="Arial"/>
                <w:sz w:val="16"/>
                <w:szCs w:val="16"/>
                <w:lang w:eastAsia="es-CO"/>
              </w:rPr>
              <w:t>vr</w:t>
            </w:r>
            <w:proofErr w:type="spellEnd"/>
            <w:r w:rsidRPr="001B6060">
              <w:rPr>
                <w:rFonts w:ascii="Arial" w:eastAsia="Times New Roman" w:hAnsi="Arial" w:cs="Arial"/>
                <w:sz w:val="16"/>
                <w:szCs w:val="16"/>
                <w:lang w:eastAsia="es-CO"/>
              </w:rPr>
              <w:t xml:space="preserve"> de $8.722.709, faltante de la evaluación a los inventarios que fueron remitidos al Nivel Central el 30-01-2020 y que no se han legalizado al no tener certificación de recibo de los bienes, de acuerdo a lo analizado verificado y registrado en el acta de inventario.</w:t>
            </w:r>
          </w:p>
        </w:tc>
        <w:tc>
          <w:tcPr>
            <w:tcW w:w="1700" w:type="dxa"/>
            <w:tcBorders>
              <w:top w:val="nil"/>
              <w:left w:val="nil"/>
              <w:bottom w:val="single" w:sz="4" w:space="0" w:color="auto"/>
              <w:right w:val="single" w:sz="4" w:space="0" w:color="auto"/>
            </w:tcBorders>
            <w:shd w:val="clear" w:color="auto" w:fill="auto"/>
            <w:vAlign w:val="center"/>
            <w:hideMark/>
          </w:tcPr>
          <w:p w14:paraId="6ABC3D64"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en los mecanismos de control de las existencias de los bienes en bodega.</w:t>
            </w:r>
          </w:p>
        </w:tc>
        <w:tc>
          <w:tcPr>
            <w:tcW w:w="1559" w:type="dxa"/>
            <w:tcBorders>
              <w:top w:val="nil"/>
              <w:left w:val="nil"/>
              <w:bottom w:val="single" w:sz="4" w:space="0" w:color="auto"/>
              <w:right w:val="single" w:sz="4" w:space="0" w:color="auto"/>
            </w:tcBorders>
            <w:shd w:val="clear" w:color="auto" w:fill="auto"/>
            <w:vAlign w:val="center"/>
            <w:hideMark/>
          </w:tcPr>
          <w:p w14:paraId="528C1EF0"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Ubicación de bienes faltantes</w:t>
            </w:r>
          </w:p>
        </w:tc>
        <w:tc>
          <w:tcPr>
            <w:tcW w:w="1844" w:type="dxa"/>
            <w:tcBorders>
              <w:top w:val="nil"/>
              <w:left w:val="nil"/>
              <w:bottom w:val="single" w:sz="4" w:space="0" w:color="auto"/>
              <w:right w:val="single" w:sz="4" w:space="0" w:color="auto"/>
            </w:tcBorders>
            <w:shd w:val="clear" w:color="auto" w:fill="auto"/>
            <w:vAlign w:val="center"/>
            <w:hideMark/>
          </w:tcPr>
          <w:p w14:paraId="648BAF75" w14:textId="6C6C3271"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br/>
              <w:t xml:space="preserve">Realizar actividades para la ubicación de los bienes faltantes tales como </w:t>
            </w:r>
            <w:r w:rsidR="00E64695" w:rsidRPr="001B6060">
              <w:rPr>
                <w:rFonts w:ascii="Arial" w:eastAsia="Times New Roman" w:hAnsi="Arial" w:cs="Arial"/>
                <w:sz w:val="16"/>
                <w:szCs w:val="16"/>
                <w:lang w:eastAsia="es-CO"/>
              </w:rPr>
              <w:t>revisión</w:t>
            </w:r>
            <w:r w:rsidRPr="001B6060">
              <w:rPr>
                <w:rFonts w:ascii="Arial" w:eastAsia="Times New Roman" w:hAnsi="Arial" w:cs="Arial"/>
                <w:sz w:val="16"/>
                <w:szCs w:val="16"/>
                <w:lang w:eastAsia="es-CO"/>
              </w:rPr>
              <w:t xml:space="preserve"> </w:t>
            </w:r>
            <w:proofErr w:type="spellStart"/>
            <w:r w:rsidRPr="001B6060">
              <w:rPr>
                <w:rFonts w:ascii="Arial" w:eastAsia="Times New Roman" w:hAnsi="Arial" w:cs="Arial"/>
                <w:sz w:val="16"/>
                <w:szCs w:val="16"/>
                <w:lang w:eastAsia="es-CO"/>
              </w:rPr>
              <w:t>fisica</w:t>
            </w:r>
            <w:proofErr w:type="spellEnd"/>
            <w:r w:rsidRPr="001B6060">
              <w:rPr>
                <w:rFonts w:ascii="Arial" w:eastAsia="Times New Roman" w:hAnsi="Arial" w:cs="Arial"/>
                <w:sz w:val="16"/>
                <w:szCs w:val="16"/>
                <w:lang w:eastAsia="es-CO"/>
              </w:rPr>
              <w:t xml:space="preserve"> y recorrido en las sedes de nivel central por parte del DCAS el DBAI, con el fin de encontrar los bienes pendientes por ubicar. </w:t>
            </w:r>
            <w:r w:rsidR="00E64695" w:rsidRPr="001B6060">
              <w:rPr>
                <w:rFonts w:ascii="Arial" w:eastAsia="Times New Roman" w:hAnsi="Arial" w:cs="Arial"/>
                <w:sz w:val="16"/>
                <w:szCs w:val="16"/>
                <w:lang w:eastAsia="es-CO"/>
              </w:rPr>
              <w:t>Deberá</w:t>
            </w:r>
            <w:r w:rsidRPr="001B6060">
              <w:rPr>
                <w:rFonts w:ascii="Arial" w:eastAsia="Times New Roman" w:hAnsi="Arial" w:cs="Arial"/>
                <w:sz w:val="16"/>
                <w:szCs w:val="16"/>
                <w:lang w:eastAsia="es-CO"/>
              </w:rPr>
              <w:t xml:space="preserve"> presentarse un informe mensual detallando las </w:t>
            </w:r>
            <w:r w:rsidR="00E64695" w:rsidRPr="001B6060">
              <w:rPr>
                <w:rFonts w:ascii="Arial" w:eastAsia="Times New Roman" w:hAnsi="Arial" w:cs="Arial"/>
                <w:sz w:val="16"/>
                <w:szCs w:val="16"/>
                <w:lang w:eastAsia="es-CO"/>
              </w:rPr>
              <w:t>áreas</w:t>
            </w:r>
            <w:r w:rsidRPr="001B6060">
              <w:rPr>
                <w:rFonts w:ascii="Arial" w:eastAsia="Times New Roman" w:hAnsi="Arial" w:cs="Arial"/>
                <w:sz w:val="16"/>
                <w:szCs w:val="16"/>
                <w:lang w:eastAsia="es-CO"/>
              </w:rPr>
              <w:t xml:space="preserve"> verificadas y los bienes encontrados.</w:t>
            </w:r>
          </w:p>
        </w:tc>
        <w:tc>
          <w:tcPr>
            <w:tcW w:w="1011" w:type="dxa"/>
            <w:tcBorders>
              <w:top w:val="nil"/>
              <w:left w:val="nil"/>
              <w:bottom w:val="single" w:sz="4" w:space="0" w:color="auto"/>
              <w:right w:val="single" w:sz="4" w:space="0" w:color="auto"/>
            </w:tcBorders>
            <w:shd w:val="clear" w:color="auto" w:fill="auto"/>
            <w:vAlign w:val="center"/>
            <w:hideMark/>
          </w:tcPr>
          <w:p w14:paraId="5DD7064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informe </w:t>
            </w:r>
          </w:p>
        </w:tc>
        <w:tc>
          <w:tcPr>
            <w:tcW w:w="1119" w:type="dxa"/>
            <w:tcBorders>
              <w:top w:val="nil"/>
              <w:left w:val="nil"/>
              <w:bottom w:val="single" w:sz="4" w:space="0" w:color="auto"/>
              <w:right w:val="single" w:sz="4" w:space="0" w:color="auto"/>
            </w:tcBorders>
            <w:shd w:val="clear" w:color="auto" w:fill="auto"/>
            <w:vAlign w:val="center"/>
            <w:hideMark/>
          </w:tcPr>
          <w:p w14:paraId="1D18A56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4</w:t>
            </w:r>
          </w:p>
        </w:tc>
        <w:tc>
          <w:tcPr>
            <w:tcW w:w="992" w:type="dxa"/>
            <w:tcBorders>
              <w:top w:val="nil"/>
              <w:left w:val="nil"/>
              <w:bottom w:val="single" w:sz="4" w:space="0" w:color="auto"/>
              <w:right w:val="single" w:sz="4" w:space="0" w:color="auto"/>
            </w:tcBorders>
            <w:shd w:val="clear" w:color="auto" w:fill="auto"/>
            <w:vAlign w:val="center"/>
            <w:hideMark/>
          </w:tcPr>
          <w:p w14:paraId="558EA24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2023-08-15</w:t>
            </w:r>
          </w:p>
        </w:tc>
        <w:tc>
          <w:tcPr>
            <w:tcW w:w="1134" w:type="dxa"/>
            <w:tcBorders>
              <w:top w:val="nil"/>
              <w:left w:val="nil"/>
              <w:bottom w:val="single" w:sz="4" w:space="0" w:color="auto"/>
              <w:right w:val="single" w:sz="4" w:space="0" w:color="auto"/>
            </w:tcBorders>
            <w:shd w:val="clear" w:color="auto" w:fill="auto"/>
            <w:vAlign w:val="center"/>
            <w:hideMark/>
          </w:tcPr>
          <w:p w14:paraId="5BF3942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2024-01-15</w:t>
            </w:r>
          </w:p>
        </w:tc>
        <w:tc>
          <w:tcPr>
            <w:tcW w:w="1816" w:type="dxa"/>
            <w:tcBorders>
              <w:top w:val="nil"/>
              <w:left w:val="nil"/>
              <w:bottom w:val="single" w:sz="4" w:space="0" w:color="auto"/>
              <w:right w:val="single" w:sz="4" w:space="0" w:color="auto"/>
            </w:tcBorders>
            <w:shd w:val="clear" w:color="000000" w:fill="FFFFFF"/>
            <w:vAlign w:val="center"/>
            <w:hideMark/>
          </w:tcPr>
          <w:p w14:paraId="2A8724F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21,86</w:t>
            </w:r>
          </w:p>
        </w:tc>
      </w:tr>
      <w:tr w:rsidR="001B6060" w:rsidRPr="001B6060" w14:paraId="0C32DCC2" w14:textId="77777777" w:rsidTr="001B6060">
        <w:trPr>
          <w:trHeight w:val="205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3C3220BF"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H.  1. Faltantes de Bienes. (F) (D)</w:t>
            </w:r>
          </w:p>
        </w:tc>
        <w:tc>
          <w:tcPr>
            <w:tcW w:w="2836" w:type="dxa"/>
            <w:tcBorders>
              <w:top w:val="nil"/>
              <w:left w:val="nil"/>
              <w:bottom w:val="single" w:sz="4" w:space="0" w:color="auto"/>
              <w:right w:val="single" w:sz="4" w:space="0" w:color="auto"/>
            </w:tcBorders>
            <w:shd w:val="clear" w:color="auto" w:fill="auto"/>
            <w:vAlign w:val="center"/>
            <w:hideMark/>
          </w:tcPr>
          <w:p w14:paraId="6A1F1E3E"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Verificadas las actas y datos de almacén en SIAF de la Seccional Sucre a 31-12-2022, no se encontraron 62 elementos por </w:t>
            </w:r>
            <w:proofErr w:type="spellStart"/>
            <w:r w:rsidRPr="001B6060">
              <w:rPr>
                <w:rFonts w:ascii="Arial" w:eastAsia="Times New Roman" w:hAnsi="Arial" w:cs="Arial"/>
                <w:sz w:val="16"/>
                <w:szCs w:val="16"/>
                <w:lang w:eastAsia="es-CO"/>
              </w:rPr>
              <w:t>vr</w:t>
            </w:r>
            <w:proofErr w:type="spellEnd"/>
            <w:r w:rsidRPr="001B6060">
              <w:rPr>
                <w:rFonts w:ascii="Arial" w:eastAsia="Times New Roman" w:hAnsi="Arial" w:cs="Arial"/>
                <w:sz w:val="16"/>
                <w:szCs w:val="16"/>
                <w:lang w:eastAsia="es-CO"/>
              </w:rPr>
              <w:t xml:space="preserve"> de $8.722.709, faltante de la evaluación a los inventarios que fueron remitidos al Nivel Central el 30-01-2020 y que no se han legalizado al no tener certificación de recibo de los bienes, de acuerdo a lo analizado verificado y registrado en el acta de inventario.</w:t>
            </w:r>
          </w:p>
        </w:tc>
        <w:tc>
          <w:tcPr>
            <w:tcW w:w="1700" w:type="dxa"/>
            <w:tcBorders>
              <w:top w:val="nil"/>
              <w:left w:val="nil"/>
              <w:bottom w:val="single" w:sz="4" w:space="0" w:color="auto"/>
              <w:right w:val="single" w:sz="4" w:space="0" w:color="auto"/>
            </w:tcBorders>
            <w:shd w:val="clear" w:color="auto" w:fill="auto"/>
            <w:vAlign w:val="center"/>
            <w:hideMark/>
          </w:tcPr>
          <w:p w14:paraId="46D82F14"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en los mecanismos de control de las existencias de los bienes en bodega.</w:t>
            </w:r>
          </w:p>
        </w:tc>
        <w:tc>
          <w:tcPr>
            <w:tcW w:w="1559" w:type="dxa"/>
            <w:tcBorders>
              <w:top w:val="nil"/>
              <w:left w:val="nil"/>
              <w:bottom w:val="single" w:sz="4" w:space="0" w:color="auto"/>
              <w:right w:val="single" w:sz="4" w:space="0" w:color="auto"/>
            </w:tcBorders>
            <w:shd w:val="clear" w:color="auto" w:fill="auto"/>
            <w:vAlign w:val="center"/>
            <w:hideMark/>
          </w:tcPr>
          <w:p w14:paraId="6E92E416" w14:textId="34341C78" w:rsidR="001B6060" w:rsidRPr="001B6060" w:rsidRDefault="00E64695"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legalización</w:t>
            </w:r>
            <w:r w:rsidR="001B6060" w:rsidRPr="001B6060">
              <w:rPr>
                <w:rFonts w:ascii="Arial" w:eastAsia="Times New Roman" w:hAnsi="Arial" w:cs="Arial"/>
                <w:sz w:val="16"/>
                <w:szCs w:val="16"/>
                <w:lang w:eastAsia="es-CO"/>
              </w:rPr>
              <w:t xml:space="preserve"> de los bienes encontrados</w:t>
            </w:r>
          </w:p>
        </w:tc>
        <w:tc>
          <w:tcPr>
            <w:tcW w:w="1844" w:type="dxa"/>
            <w:tcBorders>
              <w:top w:val="nil"/>
              <w:left w:val="nil"/>
              <w:bottom w:val="single" w:sz="4" w:space="0" w:color="auto"/>
              <w:right w:val="single" w:sz="4" w:space="0" w:color="auto"/>
            </w:tcBorders>
            <w:shd w:val="clear" w:color="auto" w:fill="auto"/>
            <w:vAlign w:val="center"/>
            <w:hideMark/>
          </w:tcPr>
          <w:p w14:paraId="14450752"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Realizar la legalización para cada uno de los bienes encontrados. Remesa para la SRA Noroccidental - Sucre- y el ingreso para Nivel Central</w:t>
            </w:r>
          </w:p>
        </w:tc>
        <w:tc>
          <w:tcPr>
            <w:tcW w:w="1011" w:type="dxa"/>
            <w:tcBorders>
              <w:top w:val="nil"/>
              <w:left w:val="nil"/>
              <w:bottom w:val="single" w:sz="4" w:space="0" w:color="auto"/>
              <w:right w:val="single" w:sz="4" w:space="0" w:color="auto"/>
            </w:tcBorders>
            <w:shd w:val="clear" w:color="auto" w:fill="auto"/>
            <w:vAlign w:val="center"/>
            <w:hideMark/>
          </w:tcPr>
          <w:p w14:paraId="37369AD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remesa</w:t>
            </w:r>
          </w:p>
        </w:tc>
        <w:tc>
          <w:tcPr>
            <w:tcW w:w="1119" w:type="dxa"/>
            <w:tcBorders>
              <w:top w:val="nil"/>
              <w:left w:val="nil"/>
              <w:bottom w:val="single" w:sz="4" w:space="0" w:color="auto"/>
              <w:right w:val="single" w:sz="4" w:space="0" w:color="auto"/>
            </w:tcBorders>
            <w:shd w:val="clear" w:color="auto" w:fill="auto"/>
            <w:vAlign w:val="center"/>
            <w:hideMark/>
          </w:tcPr>
          <w:p w14:paraId="44DF4A4D"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4532532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2023-08-31</w:t>
            </w:r>
          </w:p>
        </w:tc>
        <w:tc>
          <w:tcPr>
            <w:tcW w:w="1134" w:type="dxa"/>
            <w:tcBorders>
              <w:top w:val="nil"/>
              <w:left w:val="nil"/>
              <w:bottom w:val="single" w:sz="4" w:space="0" w:color="auto"/>
              <w:right w:val="single" w:sz="4" w:space="0" w:color="auto"/>
            </w:tcBorders>
            <w:shd w:val="clear" w:color="auto" w:fill="auto"/>
            <w:vAlign w:val="center"/>
            <w:hideMark/>
          </w:tcPr>
          <w:p w14:paraId="36ACB737"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2024-01-31</w:t>
            </w:r>
          </w:p>
        </w:tc>
        <w:tc>
          <w:tcPr>
            <w:tcW w:w="1816" w:type="dxa"/>
            <w:tcBorders>
              <w:top w:val="nil"/>
              <w:left w:val="nil"/>
              <w:bottom w:val="single" w:sz="4" w:space="0" w:color="auto"/>
              <w:right w:val="single" w:sz="4" w:space="0" w:color="auto"/>
            </w:tcBorders>
            <w:shd w:val="clear" w:color="000000" w:fill="FFFFFF"/>
            <w:vAlign w:val="center"/>
            <w:hideMark/>
          </w:tcPr>
          <w:p w14:paraId="1AFD8DB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21,86</w:t>
            </w:r>
          </w:p>
        </w:tc>
      </w:tr>
      <w:tr w:rsidR="001B6060" w:rsidRPr="001B6060" w14:paraId="446C3D92" w14:textId="77777777" w:rsidTr="001B6060">
        <w:trPr>
          <w:trHeight w:val="210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64BBD32"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 Faltantes de Bienes. (F) (D)</w:t>
            </w:r>
          </w:p>
        </w:tc>
        <w:tc>
          <w:tcPr>
            <w:tcW w:w="2836" w:type="dxa"/>
            <w:tcBorders>
              <w:top w:val="nil"/>
              <w:left w:val="nil"/>
              <w:bottom w:val="single" w:sz="4" w:space="0" w:color="auto"/>
              <w:right w:val="single" w:sz="4" w:space="0" w:color="auto"/>
            </w:tcBorders>
            <w:shd w:val="clear" w:color="auto" w:fill="auto"/>
            <w:vAlign w:val="center"/>
            <w:hideMark/>
          </w:tcPr>
          <w:p w14:paraId="72A5DBE9"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Verificadas las actas y datos de almacén en SIAF de la Seccional Sucre a 31-12-2022, no se encontraron 62 elementos por </w:t>
            </w:r>
            <w:proofErr w:type="spellStart"/>
            <w:r w:rsidRPr="001B6060">
              <w:rPr>
                <w:rFonts w:ascii="Arial" w:eastAsia="Times New Roman" w:hAnsi="Arial" w:cs="Arial"/>
                <w:sz w:val="16"/>
                <w:szCs w:val="16"/>
                <w:lang w:eastAsia="es-CO"/>
              </w:rPr>
              <w:t>vr</w:t>
            </w:r>
            <w:proofErr w:type="spellEnd"/>
            <w:r w:rsidRPr="001B6060">
              <w:rPr>
                <w:rFonts w:ascii="Arial" w:eastAsia="Times New Roman" w:hAnsi="Arial" w:cs="Arial"/>
                <w:sz w:val="16"/>
                <w:szCs w:val="16"/>
                <w:lang w:eastAsia="es-CO"/>
              </w:rPr>
              <w:t xml:space="preserve"> de $8.722.709, faltante de la evaluación a los inventarios que fueron remitidos al Nivel Central el 30-01-2020 y que no se han legalizado al no tener certificación de recibo de los bienes, de acuerdo a lo analizado verificado y registrado en el acta de inventario.</w:t>
            </w:r>
          </w:p>
        </w:tc>
        <w:tc>
          <w:tcPr>
            <w:tcW w:w="1700" w:type="dxa"/>
            <w:tcBorders>
              <w:top w:val="nil"/>
              <w:left w:val="nil"/>
              <w:bottom w:val="single" w:sz="4" w:space="0" w:color="auto"/>
              <w:right w:val="single" w:sz="4" w:space="0" w:color="auto"/>
            </w:tcBorders>
            <w:shd w:val="clear" w:color="auto" w:fill="auto"/>
            <w:vAlign w:val="center"/>
            <w:hideMark/>
          </w:tcPr>
          <w:p w14:paraId="5FF2750D"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en los mecanismos de control de las existencias de los bienes en bodega.</w:t>
            </w:r>
          </w:p>
        </w:tc>
        <w:tc>
          <w:tcPr>
            <w:tcW w:w="1559" w:type="dxa"/>
            <w:tcBorders>
              <w:top w:val="nil"/>
              <w:left w:val="nil"/>
              <w:bottom w:val="single" w:sz="4" w:space="0" w:color="auto"/>
              <w:right w:val="single" w:sz="4" w:space="0" w:color="auto"/>
            </w:tcBorders>
            <w:shd w:val="clear" w:color="auto" w:fill="auto"/>
            <w:vAlign w:val="center"/>
            <w:hideMark/>
          </w:tcPr>
          <w:p w14:paraId="738153DA"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Fortalecer los mecanismos de control de los bienes en bodega</w:t>
            </w:r>
          </w:p>
        </w:tc>
        <w:tc>
          <w:tcPr>
            <w:tcW w:w="1844" w:type="dxa"/>
            <w:tcBorders>
              <w:top w:val="nil"/>
              <w:left w:val="nil"/>
              <w:bottom w:val="single" w:sz="4" w:space="0" w:color="auto"/>
              <w:right w:val="single" w:sz="4" w:space="0" w:color="auto"/>
            </w:tcBorders>
            <w:shd w:val="clear" w:color="auto" w:fill="auto"/>
            <w:vAlign w:val="center"/>
            <w:hideMark/>
          </w:tcPr>
          <w:p w14:paraId="437AD41F" w14:textId="62F4EBF3"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Emitir </w:t>
            </w:r>
            <w:r w:rsidR="00E64695" w:rsidRPr="001B6060">
              <w:rPr>
                <w:rFonts w:ascii="Arial" w:eastAsia="Times New Roman" w:hAnsi="Arial" w:cs="Arial"/>
                <w:sz w:val="16"/>
                <w:szCs w:val="16"/>
                <w:lang w:eastAsia="es-CO"/>
              </w:rPr>
              <w:t>memorando semestral</w:t>
            </w:r>
            <w:r w:rsidRPr="001B6060">
              <w:rPr>
                <w:rFonts w:ascii="Arial" w:eastAsia="Times New Roman" w:hAnsi="Arial" w:cs="Arial"/>
                <w:sz w:val="16"/>
                <w:szCs w:val="16"/>
                <w:lang w:eastAsia="es-CO"/>
              </w:rPr>
              <w:t xml:space="preserve"> recordando el cumplimiento de los procedimientos para el manejo, registro y control de los bienes </w:t>
            </w:r>
          </w:p>
        </w:tc>
        <w:tc>
          <w:tcPr>
            <w:tcW w:w="1011" w:type="dxa"/>
            <w:tcBorders>
              <w:top w:val="nil"/>
              <w:left w:val="nil"/>
              <w:bottom w:val="single" w:sz="4" w:space="0" w:color="auto"/>
              <w:right w:val="single" w:sz="4" w:space="0" w:color="auto"/>
            </w:tcBorders>
            <w:shd w:val="clear" w:color="auto" w:fill="auto"/>
            <w:vAlign w:val="center"/>
            <w:hideMark/>
          </w:tcPr>
          <w:p w14:paraId="5A2881E7"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memorando </w:t>
            </w:r>
          </w:p>
        </w:tc>
        <w:tc>
          <w:tcPr>
            <w:tcW w:w="1119" w:type="dxa"/>
            <w:tcBorders>
              <w:top w:val="nil"/>
              <w:left w:val="nil"/>
              <w:bottom w:val="single" w:sz="4" w:space="0" w:color="auto"/>
              <w:right w:val="single" w:sz="4" w:space="0" w:color="auto"/>
            </w:tcBorders>
            <w:shd w:val="clear" w:color="auto" w:fill="auto"/>
            <w:vAlign w:val="center"/>
            <w:hideMark/>
          </w:tcPr>
          <w:p w14:paraId="5F0C502F"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w:t>
            </w:r>
          </w:p>
        </w:tc>
        <w:tc>
          <w:tcPr>
            <w:tcW w:w="992" w:type="dxa"/>
            <w:tcBorders>
              <w:top w:val="nil"/>
              <w:left w:val="nil"/>
              <w:bottom w:val="single" w:sz="4" w:space="0" w:color="auto"/>
              <w:right w:val="single" w:sz="4" w:space="0" w:color="auto"/>
            </w:tcBorders>
            <w:shd w:val="clear" w:color="auto" w:fill="auto"/>
            <w:vAlign w:val="center"/>
            <w:hideMark/>
          </w:tcPr>
          <w:p w14:paraId="766D100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2023-07-01</w:t>
            </w:r>
          </w:p>
        </w:tc>
        <w:tc>
          <w:tcPr>
            <w:tcW w:w="1134" w:type="dxa"/>
            <w:tcBorders>
              <w:top w:val="nil"/>
              <w:left w:val="nil"/>
              <w:bottom w:val="single" w:sz="4" w:space="0" w:color="auto"/>
              <w:right w:val="single" w:sz="4" w:space="0" w:color="auto"/>
            </w:tcBorders>
            <w:shd w:val="clear" w:color="auto" w:fill="auto"/>
            <w:vAlign w:val="center"/>
            <w:hideMark/>
          </w:tcPr>
          <w:p w14:paraId="510D17DD"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2024-07-01</w:t>
            </w:r>
          </w:p>
        </w:tc>
        <w:tc>
          <w:tcPr>
            <w:tcW w:w="1816" w:type="dxa"/>
            <w:tcBorders>
              <w:top w:val="nil"/>
              <w:left w:val="nil"/>
              <w:bottom w:val="single" w:sz="4" w:space="0" w:color="auto"/>
              <w:right w:val="single" w:sz="4" w:space="0" w:color="auto"/>
            </w:tcBorders>
            <w:shd w:val="clear" w:color="000000" w:fill="FFFFFF"/>
            <w:vAlign w:val="center"/>
            <w:hideMark/>
          </w:tcPr>
          <w:p w14:paraId="7E59570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52,29</w:t>
            </w:r>
          </w:p>
        </w:tc>
      </w:tr>
      <w:tr w:rsidR="001B6060" w:rsidRPr="001B6060" w14:paraId="2DF1A667" w14:textId="77777777" w:rsidTr="001B6060">
        <w:trPr>
          <w:trHeight w:val="241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782F378"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 Faltantes de Bienes. (F) (D)</w:t>
            </w:r>
          </w:p>
        </w:tc>
        <w:tc>
          <w:tcPr>
            <w:tcW w:w="2836" w:type="dxa"/>
            <w:tcBorders>
              <w:top w:val="nil"/>
              <w:left w:val="nil"/>
              <w:bottom w:val="single" w:sz="4" w:space="0" w:color="auto"/>
              <w:right w:val="single" w:sz="4" w:space="0" w:color="auto"/>
            </w:tcBorders>
            <w:shd w:val="clear" w:color="auto" w:fill="auto"/>
            <w:vAlign w:val="center"/>
            <w:hideMark/>
          </w:tcPr>
          <w:p w14:paraId="45C2E583"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Verificadas las actas y datos de almacén en SIAF de la Seccional Sucre a 31-12-2022, no se encontraron 62 elementos por </w:t>
            </w:r>
            <w:proofErr w:type="spellStart"/>
            <w:r w:rsidRPr="001B6060">
              <w:rPr>
                <w:rFonts w:ascii="Arial" w:eastAsia="Times New Roman" w:hAnsi="Arial" w:cs="Arial"/>
                <w:sz w:val="16"/>
                <w:szCs w:val="16"/>
                <w:lang w:eastAsia="es-CO"/>
              </w:rPr>
              <w:t>vr</w:t>
            </w:r>
            <w:proofErr w:type="spellEnd"/>
            <w:r w:rsidRPr="001B6060">
              <w:rPr>
                <w:rFonts w:ascii="Arial" w:eastAsia="Times New Roman" w:hAnsi="Arial" w:cs="Arial"/>
                <w:sz w:val="16"/>
                <w:szCs w:val="16"/>
                <w:lang w:eastAsia="es-CO"/>
              </w:rPr>
              <w:t xml:space="preserve"> de $8.722.709, faltante de la evaluación a los inventarios que fueron remitidos al Nivel Central el 30-01-2020 y que no se han legalizado al no tener certificación de recibo de los bienes, de acuerdo a lo analizado verificado y registrado en el acta de inventario.</w:t>
            </w:r>
          </w:p>
        </w:tc>
        <w:tc>
          <w:tcPr>
            <w:tcW w:w="1700" w:type="dxa"/>
            <w:tcBorders>
              <w:top w:val="nil"/>
              <w:left w:val="nil"/>
              <w:bottom w:val="single" w:sz="4" w:space="0" w:color="auto"/>
              <w:right w:val="single" w:sz="4" w:space="0" w:color="auto"/>
            </w:tcBorders>
            <w:shd w:val="clear" w:color="auto" w:fill="auto"/>
            <w:vAlign w:val="center"/>
            <w:hideMark/>
          </w:tcPr>
          <w:p w14:paraId="60EB9ECA"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en los mecanismos de control de las existencias de los bienes en bodega.</w:t>
            </w:r>
          </w:p>
        </w:tc>
        <w:tc>
          <w:tcPr>
            <w:tcW w:w="1559" w:type="dxa"/>
            <w:tcBorders>
              <w:top w:val="nil"/>
              <w:left w:val="nil"/>
              <w:bottom w:val="single" w:sz="4" w:space="0" w:color="auto"/>
              <w:right w:val="single" w:sz="4" w:space="0" w:color="auto"/>
            </w:tcBorders>
            <w:shd w:val="clear" w:color="auto" w:fill="auto"/>
            <w:vAlign w:val="center"/>
            <w:hideMark/>
          </w:tcPr>
          <w:p w14:paraId="4A37A12B"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Fortalecer los mecanismos de control de los bienes en bodega</w:t>
            </w:r>
          </w:p>
        </w:tc>
        <w:tc>
          <w:tcPr>
            <w:tcW w:w="1844" w:type="dxa"/>
            <w:tcBorders>
              <w:top w:val="nil"/>
              <w:left w:val="nil"/>
              <w:bottom w:val="single" w:sz="4" w:space="0" w:color="auto"/>
              <w:right w:val="single" w:sz="4" w:space="0" w:color="auto"/>
            </w:tcBorders>
            <w:shd w:val="clear" w:color="auto" w:fill="auto"/>
            <w:vAlign w:val="center"/>
            <w:hideMark/>
          </w:tcPr>
          <w:p w14:paraId="532EDD24" w14:textId="297232AD"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br/>
              <w:t xml:space="preserve">Capacitar a los Servidores de almacén acerca de </w:t>
            </w:r>
            <w:r w:rsidR="00E64695" w:rsidRPr="001B6060">
              <w:rPr>
                <w:rFonts w:ascii="Arial" w:eastAsia="Times New Roman" w:hAnsi="Arial" w:cs="Arial"/>
                <w:sz w:val="16"/>
                <w:szCs w:val="16"/>
                <w:lang w:eastAsia="es-CO"/>
              </w:rPr>
              <w:t>los procedimientos</w:t>
            </w:r>
            <w:r w:rsidRPr="001B6060">
              <w:rPr>
                <w:rFonts w:ascii="Arial" w:eastAsia="Times New Roman" w:hAnsi="Arial" w:cs="Arial"/>
                <w:sz w:val="16"/>
                <w:szCs w:val="16"/>
                <w:lang w:eastAsia="es-CO"/>
              </w:rPr>
              <w:t xml:space="preserve"> para el manejo, registro y control de los bienes</w:t>
            </w:r>
          </w:p>
        </w:tc>
        <w:tc>
          <w:tcPr>
            <w:tcW w:w="1011" w:type="dxa"/>
            <w:tcBorders>
              <w:top w:val="nil"/>
              <w:left w:val="nil"/>
              <w:bottom w:val="single" w:sz="4" w:space="0" w:color="auto"/>
              <w:right w:val="single" w:sz="4" w:space="0" w:color="auto"/>
            </w:tcBorders>
            <w:shd w:val="clear" w:color="auto" w:fill="auto"/>
            <w:vAlign w:val="center"/>
            <w:hideMark/>
          </w:tcPr>
          <w:p w14:paraId="47E684D8" w14:textId="6181FE1E"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acta de </w:t>
            </w:r>
            <w:r w:rsidR="00E64695" w:rsidRPr="001B6060">
              <w:rPr>
                <w:rFonts w:ascii="Arial" w:eastAsia="Times New Roman" w:hAnsi="Arial" w:cs="Arial"/>
                <w:sz w:val="16"/>
                <w:szCs w:val="16"/>
                <w:lang w:eastAsia="es-CO"/>
              </w:rPr>
              <w:t>reunión</w:t>
            </w:r>
            <w:r w:rsidRPr="001B6060">
              <w:rPr>
                <w:rFonts w:ascii="Arial" w:eastAsia="Times New Roman" w:hAnsi="Arial" w:cs="Arial"/>
                <w:sz w:val="16"/>
                <w:szCs w:val="16"/>
                <w:lang w:eastAsia="es-CO"/>
              </w:rPr>
              <w:t xml:space="preserve"> </w:t>
            </w:r>
          </w:p>
        </w:tc>
        <w:tc>
          <w:tcPr>
            <w:tcW w:w="1119" w:type="dxa"/>
            <w:tcBorders>
              <w:top w:val="nil"/>
              <w:left w:val="nil"/>
              <w:bottom w:val="single" w:sz="4" w:space="0" w:color="auto"/>
              <w:right w:val="single" w:sz="4" w:space="0" w:color="auto"/>
            </w:tcBorders>
            <w:shd w:val="clear" w:color="auto" w:fill="auto"/>
            <w:vAlign w:val="center"/>
            <w:hideMark/>
          </w:tcPr>
          <w:p w14:paraId="71833958"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w:t>
            </w:r>
          </w:p>
        </w:tc>
        <w:tc>
          <w:tcPr>
            <w:tcW w:w="992" w:type="dxa"/>
            <w:tcBorders>
              <w:top w:val="nil"/>
              <w:left w:val="nil"/>
              <w:bottom w:val="single" w:sz="4" w:space="0" w:color="auto"/>
              <w:right w:val="single" w:sz="4" w:space="0" w:color="auto"/>
            </w:tcBorders>
            <w:shd w:val="clear" w:color="auto" w:fill="auto"/>
            <w:vAlign w:val="center"/>
            <w:hideMark/>
          </w:tcPr>
          <w:p w14:paraId="523BCDD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2023-07-01</w:t>
            </w:r>
          </w:p>
        </w:tc>
        <w:tc>
          <w:tcPr>
            <w:tcW w:w="1134" w:type="dxa"/>
            <w:tcBorders>
              <w:top w:val="nil"/>
              <w:left w:val="nil"/>
              <w:bottom w:val="single" w:sz="4" w:space="0" w:color="auto"/>
              <w:right w:val="single" w:sz="4" w:space="0" w:color="auto"/>
            </w:tcBorders>
            <w:shd w:val="clear" w:color="auto" w:fill="auto"/>
            <w:vAlign w:val="center"/>
            <w:hideMark/>
          </w:tcPr>
          <w:p w14:paraId="5B55A2E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2024-07-01</w:t>
            </w:r>
          </w:p>
        </w:tc>
        <w:tc>
          <w:tcPr>
            <w:tcW w:w="1816" w:type="dxa"/>
            <w:tcBorders>
              <w:top w:val="nil"/>
              <w:left w:val="nil"/>
              <w:bottom w:val="single" w:sz="4" w:space="0" w:color="auto"/>
              <w:right w:val="single" w:sz="4" w:space="0" w:color="auto"/>
            </w:tcBorders>
            <w:shd w:val="clear" w:color="000000" w:fill="FFFFFF"/>
            <w:vAlign w:val="center"/>
            <w:hideMark/>
          </w:tcPr>
          <w:p w14:paraId="7F56546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52,29</w:t>
            </w:r>
          </w:p>
        </w:tc>
      </w:tr>
      <w:tr w:rsidR="001B6060" w:rsidRPr="001B6060" w14:paraId="30141301" w14:textId="77777777" w:rsidTr="001B6060">
        <w:trPr>
          <w:trHeight w:val="241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A8977F0"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 Faltantes de Bienes. (F) (D)</w:t>
            </w:r>
          </w:p>
        </w:tc>
        <w:tc>
          <w:tcPr>
            <w:tcW w:w="2836" w:type="dxa"/>
            <w:tcBorders>
              <w:top w:val="nil"/>
              <w:left w:val="nil"/>
              <w:bottom w:val="single" w:sz="4" w:space="0" w:color="auto"/>
              <w:right w:val="single" w:sz="4" w:space="0" w:color="auto"/>
            </w:tcBorders>
            <w:shd w:val="clear" w:color="auto" w:fill="auto"/>
            <w:vAlign w:val="center"/>
            <w:hideMark/>
          </w:tcPr>
          <w:p w14:paraId="76CB06B4"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Verificadas las actas y datos de almacén en SIAF de la Seccional Sucre a 31-12-2022, no se encontraron 62 elementos por </w:t>
            </w:r>
            <w:proofErr w:type="spellStart"/>
            <w:r w:rsidRPr="001B6060">
              <w:rPr>
                <w:rFonts w:ascii="Arial" w:eastAsia="Times New Roman" w:hAnsi="Arial" w:cs="Arial"/>
                <w:sz w:val="16"/>
                <w:szCs w:val="16"/>
                <w:lang w:eastAsia="es-CO"/>
              </w:rPr>
              <w:t>vr</w:t>
            </w:r>
            <w:proofErr w:type="spellEnd"/>
            <w:r w:rsidRPr="001B6060">
              <w:rPr>
                <w:rFonts w:ascii="Arial" w:eastAsia="Times New Roman" w:hAnsi="Arial" w:cs="Arial"/>
                <w:sz w:val="16"/>
                <w:szCs w:val="16"/>
                <w:lang w:eastAsia="es-CO"/>
              </w:rPr>
              <w:t xml:space="preserve"> de $8.722.709, faltante de la evaluación a los inventarios que fueron remitidos al Nivel Central el 30-01-2020 y que no se han legalizado al no tener certificación de recibo de los bienes, de acuerdo a lo analizado verificado y registrado en el acta de inventario.</w:t>
            </w:r>
          </w:p>
        </w:tc>
        <w:tc>
          <w:tcPr>
            <w:tcW w:w="1700" w:type="dxa"/>
            <w:tcBorders>
              <w:top w:val="nil"/>
              <w:left w:val="nil"/>
              <w:bottom w:val="single" w:sz="4" w:space="0" w:color="auto"/>
              <w:right w:val="single" w:sz="4" w:space="0" w:color="auto"/>
            </w:tcBorders>
            <w:shd w:val="clear" w:color="auto" w:fill="auto"/>
            <w:vAlign w:val="center"/>
            <w:hideMark/>
          </w:tcPr>
          <w:p w14:paraId="65CD2365"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en los mecanismos de control de las existencias de los bienes en bodega.</w:t>
            </w:r>
          </w:p>
        </w:tc>
        <w:tc>
          <w:tcPr>
            <w:tcW w:w="1559" w:type="dxa"/>
            <w:tcBorders>
              <w:top w:val="nil"/>
              <w:left w:val="nil"/>
              <w:bottom w:val="single" w:sz="4" w:space="0" w:color="auto"/>
              <w:right w:val="single" w:sz="4" w:space="0" w:color="auto"/>
            </w:tcBorders>
            <w:shd w:val="clear" w:color="auto" w:fill="auto"/>
            <w:vAlign w:val="center"/>
            <w:hideMark/>
          </w:tcPr>
          <w:p w14:paraId="09D3CB36"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Fortalecer los mecanismos de control de los bienes en bodega</w:t>
            </w:r>
          </w:p>
        </w:tc>
        <w:tc>
          <w:tcPr>
            <w:tcW w:w="1844" w:type="dxa"/>
            <w:tcBorders>
              <w:top w:val="nil"/>
              <w:left w:val="nil"/>
              <w:bottom w:val="single" w:sz="4" w:space="0" w:color="auto"/>
              <w:right w:val="single" w:sz="4" w:space="0" w:color="auto"/>
            </w:tcBorders>
            <w:shd w:val="clear" w:color="auto" w:fill="auto"/>
            <w:vAlign w:val="center"/>
            <w:hideMark/>
          </w:tcPr>
          <w:p w14:paraId="1D279137" w14:textId="0D9DE484"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Verificar </w:t>
            </w:r>
            <w:r w:rsidR="00E64695" w:rsidRPr="001B6060">
              <w:rPr>
                <w:rFonts w:ascii="Arial" w:eastAsia="Times New Roman" w:hAnsi="Arial" w:cs="Arial"/>
                <w:sz w:val="16"/>
                <w:szCs w:val="16"/>
                <w:lang w:eastAsia="es-CO"/>
              </w:rPr>
              <w:t>periódica</w:t>
            </w:r>
            <w:r w:rsidRPr="001B6060">
              <w:rPr>
                <w:rFonts w:ascii="Arial" w:eastAsia="Times New Roman" w:hAnsi="Arial" w:cs="Arial"/>
                <w:sz w:val="16"/>
                <w:szCs w:val="16"/>
                <w:lang w:eastAsia="es-CO"/>
              </w:rPr>
              <w:t xml:space="preserve"> y aleatoriamente la existencia de los bienes en las bodegas - almacenes</w:t>
            </w:r>
          </w:p>
        </w:tc>
        <w:tc>
          <w:tcPr>
            <w:tcW w:w="1011" w:type="dxa"/>
            <w:tcBorders>
              <w:top w:val="nil"/>
              <w:left w:val="nil"/>
              <w:bottom w:val="single" w:sz="4" w:space="0" w:color="auto"/>
              <w:right w:val="single" w:sz="4" w:space="0" w:color="auto"/>
            </w:tcBorders>
            <w:shd w:val="clear" w:color="auto" w:fill="auto"/>
            <w:vAlign w:val="center"/>
            <w:hideMark/>
          </w:tcPr>
          <w:p w14:paraId="11FAA01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Documento</w:t>
            </w:r>
          </w:p>
        </w:tc>
        <w:tc>
          <w:tcPr>
            <w:tcW w:w="1119" w:type="dxa"/>
            <w:tcBorders>
              <w:top w:val="nil"/>
              <w:left w:val="nil"/>
              <w:bottom w:val="single" w:sz="4" w:space="0" w:color="auto"/>
              <w:right w:val="single" w:sz="4" w:space="0" w:color="auto"/>
            </w:tcBorders>
            <w:shd w:val="clear" w:color="auto" w:fill="auto"/>
            <w:vAlign w:val="center"/>
            <w:hideMark/>
          </w:tcPr>
          <w:p w14:paraId="56DCFD5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w:t>
            </w:r>
          </w:p>
        </w:tc>
        <w:tc>
          <w:tcPr>
            <w:tcW w:w="992" w:type="dxa"/>
            <w:tcBorders>
              <w:top w:val="nil"/>
              <w:left w:val="nil"/>
              <w:bottom w:val="single" w:sz="4" w:space="0" w:color="auto"/>
              <w:right w:val="single" w:sz="4" w:space="0" w:color="auto"/>
            </w:tcBorders>
            <w:shd w:val="clear" w:color="auto" w:fill="auto"/>
            <w:vAlign w:val="center"/>
            <w:hideMark/>
          </w:tcPr>
          <w:p w14:paraId="76EF715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5ADBA058"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2024-08-01</w:t>
            </w:r>
          </w:p>
        </w:tc>
        <w:tc>
          <w:tcPr>
            <w:tcW w:w="1816" w:type="dxa"/>
            <w:tcBorders>
              <w:top w:val="nil"/>
              <w:left w:val="nil"/>
              <w:bottom w:val="single" w:sz="4" w:space="0" w:color="auto"/>
              <w:right w:val="single" w:sz="4" w:space="0" w:color="auto"/>
            </w:tcBorders>
            <w:shd w:val="clear" w:color="000000" w:fill="FFFFFF"/>
            <w:vAlign w:val="center"/>
            <w:hideMark/>
          </w:tcPr>
          <w:p w14:paraId="36A3417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52,29</w:t>
            </w:r>
          </w:p>
        </w:tc>
      </w:tr>
      <w:tr w:rsidR="001B6060" w:rsidRPr="001B6060" w14:paraId="5A93214C" w14:textId="77777777" w:rsidTr="001B6060">
        <w:trPr>
          <w:trHeight w:val="2616"/>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D29E8DB"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H.  2. Licencias de Construcción. (OI)</w:t>
            </w:r>
          </w:p>
        </w:tc>
        <w:tc>
          <w:tcPr>
            <w:tcW w:w="2836" w:type="dxa"/>
            <w:tcBorders>
              <w:top w:val="nil"/>
              <w:left w:val="nil"/>
              <w:bottom w:val="single" w:sz="4" w:space="0" w:color="auto"/>
              <w:right w:val="single" w:sz="4" w:space="0" w:color="auto"/>
            </w:tcBorders>
            <w:shd w:val="clear" w:color="auto" w:fill="auto"/>
            <w:vAlign w:val="center"/>
            <w:hideMark/>
          </w:tcPr>
          <w:p w14:paraId="1BD6C4B8"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En los contratos FGN-RNOCC-0024-2022 y FGN-RNOCC-039-2022, celebrados para realizar actividades de obra relacionadas con las adecuaciones y reparaciones locativas y los mantenimientos de las sedes de la FGN, no se contó con la licencia urbanística expedida por la autoridad municipal competente que autorizara adelantar las obras de adecuación y reforzamiento estructural.</w:t>
            </w:r>
          </w:p>
        </w:tc>
        <w:tc>
          <w:tcPr>
            <w:tcW w:w="1700" w:type="dxa"/>
            <w:tcBorders>
              <w:top w:val="nil"/>
              <w:left w:val="nil"/>
              <w:bottom w:val="single" w:sz="4" w:space="0" w:color="auto"/>
              <w:right w:val="single" w:sz="4" w:space="0" w:color="auto"/>
            </w:tcBorders>
            <w:shd w:val="clear" w:color="auto" w:fill="auto"/>
            <w:vAlign w:val="center"/>
            <w:hideMark/>
          </w:tcPr>
          <w:p w14:paraId="1945924D"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Deficiencia de planeación y de gestión </w:t>
            </w:r>
            <w:r w:rsidRPr="001B6060">
              <w:rPr>
                <w:rFonts w:ascii="Arial" w:eastAsia="Times New Roman" w:hAnsi="Arial" w:cs="Arial"/>
                <w:sz w:val="16"/>
                <w:szCs w:val="16"/>
                <w:lang w:eastAsia="es-CO"/>
              </w:rPr>
              <w:br/>
              <w:t xml:space="preserve">administrativa al momento de proyectar la viabilidad de los proyectos y su impacto </w:t>
            </w:r>
            <w:r w:rsidRPr="001B6060">
              <w:rPr>
                <w:rFonts w:ascii="Arial" w:eastAsia="Times New Roman" w:hAnsi="Arial" w:cs="Arial"/>
                <w:sz w:val="16"/>
                <w:szCs w:val="16"/>
                <w:lang w:eastAsia="es-CO"/>
              </w:rPr>
              <w:br/>
              <w:t>social, económico y ambiental.</w:t>
            </w:r>
          </w:p>
        </w:tc>
        <w:tc>
          <w:tcPr>
            <w:tcW w:w="1559" w:type="dxa"/>
            <w:tcBorders>
              <w:top w:val="nil"/>
              <w:left w:val="nil"/>
              <w:bottom w:val="single" w:sz="4" w:space="0" w:color="auto"/>
              <w:right w:val="single" w:sz="4" w:space="0" w:color="auto"/>
            </w:tcBorders>
            <w:shd w:val="clear" w:color="auto" w:fill="auto"/>
            <w:vAlign w:val="center"/>
            <w:hideMark/>
          </w:tcPr>
          <w:p w14:paraId="1D0A4414"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Fortalecer la planeación respecto a los permisos y licencias requeridas.</w:t>
            </w:r>
          </w:p>
        </w:tc>
        <w:tc>
          <w:tcPr>
            <w:tcW w:w="1844" w:type="dxa"/>
            <w:tcBorders>
              <w:top w:val="nil"/>
              <w:left w:val="nil"/>
              <w:bottom w:val="single" w:sz="4" w:space="0" w:color="auto"/>
              <w:right w:val="single" w:sz="4" w:space="0" w:color="auto"/>
            </w:tcBorders>
            <w:shd w:val="clear" w:color="auto" w:fill="auto"/>
            <w:vAlign w:val="center"/>
            <w:hideMark/>
          </w:tcPr>
          <w:p w14:paraId="2DE27E45" w14:textId="275B166B"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Registrar en el formato "Identificar necesidades de mejoramiento y/o adecuación de infraestructura física FGN-AP04-F-77", la necesidad de permisos o </w:t>
            </w:r>
            <w:r w:rsidR="00E64695" w:rsidRPr="001B6060">
              <w:rPr>
                <w:rFonts w:ascii="Arial" w:eastAsia="Times New Roman" w:hAnsi="Arial" w:cs="Arial"/>
                <w:sz w:val="16"/>
                <w:szCs w:val="16"/>
                <w:lang w:eastAsia="es-CO"/>
              </w:rPr>
              <w:t>licencias para</w:t>
            </w:r>
            <w:r w:rsidRPr="001B6060">
              <w:rPr>
                <w:rFonts w:ascii="Arial" w:eastAsia="Times New Roman" w:hAnsi="Arial" w:cs="Arial"/>
                <w:sz w:val="16"/>
                <w:szCs w:val="16"/>
                <w:lang w:eastAsia="es-CO"/>
              </w:rPr>
              <w:t xml:space="preserve"> el desarrollo de actividades de mejoramiento, adecuación y/o mantenimiento de sedes.</w:t>
            </w:r>
          </w:p>
        </w:tc>
        <w:tc>
          <w:tcPr>
            <w:tcW w:w="1011" w:type="dxa"/>
            <w:tcBorders>
              <w:top w:val="nil"/>
              <w:left w:val="nil"/>
              <w:bottom w:val="single" w:sz="4" w:space="0" w:color="auto"/>
              <w:right w:val="single" w:sz="4" w:space="0" w:color="auto"/>
            </w:tcBorders>
            <w:shd w:val="clear" w:color="auto" w:fill="auto"/>
            <w:vAlign w:val="center"/>
            <w:hideMark/>
          </w:tcPr>
          <w:p w14:paraId="6512F01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formato diligenciado</w:t>
            </w:r>
          </w:p>
        </w:tc>
        <w:tc>
          <w:tcPr>
            <w:tcW w:w="1119" w:type="dxa"/>
            <w:tcBorders>
              <w:top w:val="nil"/>
              <w:left w:val="nil"/>
              <w:bottom w:val="single" w:sz="4" w:space="0" w:color="auto"/>
              <w:right w:val="single" w:sz="4" w:space="0" w:color="auto"/>
            </w:tcBorders>
            <w:shd w:val="clear" w:color="auto" w:fill="auto"/>
            <w:vAlign w:val="center"/>
            <w:hideMark/>
          </w:tcPr>
          <w:p w14:paraId="22915FB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3E120CFB"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2023-07-31</w:t>
            </w:r>
          </w:p>
        </w:tc>
        <w:tc>
          <w:tcPr>
            <w:tcW w:w="1134" w:type="dxa"/>
            <w:tcBorders>
              <w:top w:val="nil"/>
              <w:left w:val="nil"/>
              <w:bottom w:val="single" w:sz="4" w:space="0" w:color="auto"/>
              <w:right w:val="single" w:sz="4" w:space="0" w:color="auto"/>
            </w:tcBorders>
            <w:shd w:val="clear" w:color="auto" w:fill="auto"/>
            <w:vAlign w:val="center"/>
            <w:hideMark/>
          </w:tcPr>
          <w:p w14:paraId="5588CBA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2024-07-31</w:t>
            </w:r>
          </w:p>
        </w:tc>
        <w:tc>
          <w:tcPr>
            <w:tcW w:w="1816" w:type="dxa"/>
            <w:tcBorders>
              <w:top w:val="nil"/>
              <w:left w:val="nil"/>
              <w:bottom w:val="single" w:sz="4" w:space="0" w:color="auto"/>
              <w:right w:val="single" w:sz="4" w:space="0" w:color="auto"/>
            </w:tcBorders>
            <w:shd w:val="clear" w:color="000000" w:fill="FFFFFF"/>
            <w:vAlign w:val="center"/>
            <w:hideMark/>
          </w:tcPr>
          <w:p w14:paraId="7BFAAB8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52,29</w:t>
            </w:r>
          </w:p>
        </w:tc>
      </w:tr>
      <w:tr w:rsidR="001B6060" w:rsidRPr="001B6060" w14:paraId="613FEFB7" w14:textId="77777777" w:rsidTr="001B6060">
        <w:trPr>
          <w:trHeight w:val="220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97156EB"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2. Licencias de Construcción. (OI)</w:t>
            </w:r>
          </w:p>
        </w:tc>
        <w:tc>
          <w:tcPr>
            <w:tcW w:w="2836" w:type="dxa"/>
            <w:tcBorders>
              <w:top w:val="nil"/>
              <w:left w:val="nil"/>
              <w:bottom w:val="single" w:sz="4" w:space="0" w:color="auto"/>
              <w:right w:val="single" w:sz="4" w:space="0" w:color="auto"/>
            </w:tcBorders>
            <w:shd w:val="clear" w:color="auto" w:fill="auto"/>
            <w:vAlign w:val="center"/>
            <w:hideMark/>
          </w:tcPr>
          <w:p w14:paraId="6C206E4E"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En los contratos FGN-RNOCC-0024-2022 y FGN-RNOCC-039-2022, celebrados para realizar actividades de obra relacionadas con las adecuaciones y reparaciones locativas y los mantenimientos de las sedes de la FGN, no se contó con la licencia urbanística expedida por la autoridad municipal competente que autorizara adelantar las obras de adecuación y reforzamiento estructural.</w:t>
            </w:r>
          </w:p>
        </w:tc>
        <w:tc>
          <w:tcPr>
            <w:tcW w:w="1700" w:type="dxa"/>
            <w:tcBorders>
              <w:top w:val="nil"/>
              <w:left w:val="nil"/>
              <w:bottom w:val="single" w:sz="4" w:space="0" w:color="auto"/>
              <w:right w:val="single" w:sz="4" w:space="0" w:color="auto"/>
            </w:tcBorders>
            <w:shd w:val="clear" w:color="auto" w:fill="auto"/>
            <w:vAlign w:val="center"/>
            <w:hideMark/>
          </w:tcPr>
          <w:p w14:paraId="3334869F"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Deficiencia de planeación y de gestión </w:t>
            </w:r>
            <w:r w:rsidRPr="001B6060">
              <w:rPr>
                <w:rFonts w:ascii="Arial" w:eastAsia="Times New Roman" w:hAnsi="Arial" w:cs="Arial"/>
                <w:sz w:val="16"/>
                <w:szCs w:val="16"/>
                <w:lang w:eastAsia="es-CO"/>
              </w:rPr>
              <w:br/>
              <w:t xml:space="preserve">administrativa al momento de proyectar la viabilidad de los proyectos y su impacto </w:t>
            </w:r>
            <w:r w:rsidRPr="001B6060">
              <w:rPr>
                <w:rFonts w:ascii="Arial" w:eastAsia="Times New Roman" w:hAnsi="Arial" w:cs="Arial"/>
                <w:sz w:val="16"/>
                <w:szCs w:val="16"/>
                <w:lang w:eastAsia="es-CO"/>
              </w:rPr>
              <w:br/>
              <w:t>social, económico y ambiental.</w:t>
            </w:r>
          </w:p>
        </w:tc>
        <w:tc>
          <w:tcPr>
            <w:tcW w:w="1559" w:type="dxa"/>
            <w:tcBorders>
              <w:top w:val="nil"/>
              <w:left w:val="nil"/>
              <w:bottom w:val="single" w:sz="4" w:space="0" w:color="auto"/>
              <w:right w:val="single" w:sz="4" w:space="0" w:color="auto"/>
            </w:tcBorders>
            <w:shd w:val="clear" w:color="auto" w:fill="auto"/>
            <w:vAlign w:val="center"/>
            <w:hideMark/>
          </w:tcPr>
          <w:p w14:paraId="011D44FA"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Fortalecer la planeación respecto a los permisos y licencias requeridas.</w:t>
            </w:r>
          </w:p>
        </w:tc>
        <w:tc>
          <w:tcPr>
            <w:tcW w:w="1844" w:type="dxa"/>
            <w:tcBorders>
              <w:top w:val="nil"/>
              <w:left w:val="nil"/>
              <w:bottom w:val="single" w:sz="4" w:space="0" w:color="auto"/>
              <w:right w:val="single" w:sz="4" w:space="0" w:color="auto"/>
            </w:tcBorders>
            <w:shd w:val="clear" w:color="auto" w:fill="auto"/>
            <w:vAlign w:val="center"/>
            <w:hideMark/>
          </w:tcPr>
          <w:p w14:paraId="5AEBDBAC" w14:textId="145D3BA8"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Verificar </w:t>
            </w:r>
            <w:r w:rsidR="00E64695" w:rsidRPr="001B6060">
              <w:rPr>
                <w:rFonts w:ascii="Arial" w:eastAsia="Times New Roman" w:hAnsi="Arial" w:cs="Arial"/>
                <w:sz w:val="16"/>
                <w:szCs w:val="16"/>
                <w:lang w:eastAsia="es-CO"/>
              </w:rPr>
              <w:t>periódica</w:t>
            </w:r>
            <w:r w:rsidRPr="001B6060">
              <w:rPr>
                <w:rFonts w:ascii="Arial" w:eastAsia="Times New Roman" w:hAnsi="Arial" w:cs="Arial"/>
                <w:sz w:val="16"/>
                <w:szCs w:val="16"/>
                <w:lang w:eastAsia="es-CO"/>
              </w:rPr>
              <w:t xml:space="preserve"> y aleatoriamente el diligenciamiento </w:t>
            </w:r>
            <w:r w:rsidR="00E64695" w:rsidRPr="001B6060">
              <w:rPr>
                <w:rFonts w:ascii="Arial" w:eastAsia="Times New Roman" w:hAnsi="Arial" w:cs="Arial"/>
                <w:sz w:val="16"/>
                <w:szCs w:val="16"/>
                <w:lang w:eastAsia="es-CO"/>
              </w:rPr>
              <w:t>del formato</w:t>
            </w:r>
            <w:r w:rsidRPr="001B6060">
              <w:rPr>
                <w:rFonts w:ascii="Arial" w:eastAsia="Times New Roman" w:hAnsi="Arial" w:cs="Arial"/>
                <w:sz w:val="16"/>
                <w:szCs w:val="16"/>
                <w:lang w:eastAsia="es-CO"/>
              </w:rPr>
              <w:t xml:space="preserve"> "Identificar necesidades de mejoramiento y/o adecuación de infraestructura física FGN-AP04-F-77" </w:t>
            </w:r>
          </w:p>
        </w:tc>
        <w:tc>
          <w:tcPr>
            <w:tcW w:w="1011" w:type="dxa"/>
            <w:tcBorders>
              <w:top w:val="nil"/>
              <w:left w:val="nil"/>
              <w:bottom w:val="single" w:sz="4" w:space="0" w:color="auto"/>
              <w:right w:val="single" w:sz="4" w:space="0" w:color="auto"/>
            </w:tcBorders>
            <w:shd w:val="clear" w:color="auto" w:fill="auto"/>
            <w:vAlign w:val="center"/>
            <w:hideMark/>
          </w:tcPr>
          <w:p w14:paraId="25573FD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documento</w:t>
            </w:r>
          </w:p>
        </w:tc>
        <w:tc>
          <w:tcPr>
            <w:tcW w:w="1119" w:type="dxa"/>
            <w:tcBorders>
              <w:top w:val="nil"/>
              <w:left w:val="nil"/>
              <w:bottom w:val="single" w:sz="4" w:space="0" w:color="auto"/>
              <w:right w:val="single" w:sz="4" w:space="0" w:color="auto"/>
            </w:tcBorders>
            <w:shd w:val="clear" w:color="auto" w:fill="auto"/>
            <w:vAlign w:val="center"/>
            <w:hideMark/>
          </w:tcPr>
          <w:p w14:paraId="1F37C3D7"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3960C83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50ED361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2023-12-31</w:t>
            </w:r>
          </w:p>
        </w:tc>
        <w:tc>
          <w:tcPr>
            <w:tcW w:w="1816" w:type="dxa"/>
            <w:tcBorders>
              <w:top w:val="nil"/>
              <w:left w:val="nil"/>
              <w:bottom w:val="single" w:sz="4" w:space="0" w:color="auto"/>
              <w:right w:val="single" w:sz="4" w:space="0" w:color="auto"/>
            </w:tcBorders>
            <w:shd w:val="clear" w:color="000000" w:fill="FFFFFF"/>
            <w:vAlign w:val="center"/>
            <w:hideMark/>
          </w:tcPr>
          <w:p w14:paraId="37415AA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21,71</w:t>
            </w:r>
          </w:p>
        </w:tc>
      </w:tr>
      <w:tr w:rsidR="001B6060" w:rsidRPr="001B6060" w14:paraId="53D1929E" w14:textId="77777777" w:rsidTr="001B6060">
        <w:trPr>
          <w:trHeight w:val="274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CDC3604"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2. Licencias de Construcción. (OI)</w:t>
            </w:r>
          </w:p>
        </w:tc>
        <w:tc>
          <w:tcPr>
            <w:tcW w:w="2836" w:type="dxa"/>
            <w:tcBorders>
              <w:top w:val="nil"/>
              <w:left w:val="nil"/>
              <w:bottom w:val="single" w:sz="4" w:space="0" w:color="auto"/>
              <w:right w:val="single" w:sz="4" w:space="0" w:color="auto"/>
            </w:tcBorders>
            <w:shd w:val="clear" w:color="auto" w:fill="auto"/>
            <w:vAlign w:val="center"/>
            <w:hideMark/>
          </w:tcPr>
          <w:p w14:paraId="57111EEE"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En los contratos FGN-RNOCC-0024-2022 y FGN-RNOCC-039-2022, celebrados para realizar actividades de obra relacionadas con las adecuaciones y reparaciones locativas y los mantenimientos de las sedes de la FGN, no se contó con la licencia urbanística expedida por la autoridad municipal competente que autorizara adelantar las obras de adecuación y reforzamiento estructural.</w:t>
            </w:r>
          </w:p>
        </w:tc>
        <w:tc>
          <w:tcPr>
            <w:tcW w:w="1700" w:type="dxa"/>
            <w:tcBorders>
              <w:top w:val="nil"/>
              <w:left w:val="nil"/>
              <w:bottom w:val="single" w:sz="4" w:space="0" w:color="auto"/>
              <w:right w:val="single" w:sz="4" w:space="0" w:color="auto"/>
            </w:tcBorders>
            <w:shd w:val="clear" w:color="auto" w:fill="auto"/>
            <w:vAlign w:val="center"/>
            <w:hideMark/>
          </w:tcPr>
          <w:p w14:paraId="46DC6475"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Deficiencia de planeación y de gestión </w:t>
            </w:r>
            <w:r w:rsidRPr="001B6060">
              <w:rPr>
                <w:rFonts w:ascii="Arial" w:eastAsia="Times New Roman" w:hAnsi="Arial" w:cs="Arial"/>
                <w:sz w:val="16"/>
                <w:szCs w:val="16"/>
                <w:lang w:eastAsia="es-CO"/>
              </w:rPr>
              <w:br/>
              <w:t xml:space="preserve">administrativa al momento de proyectar la viabilidad de los proyectos y su impacto </w:t>
            </w:r>
            <w:r w:rsidRPr="001B6060">
              <w:rPr>
                <w:rFonts w:ascii="Arial" w:eastAsia="Times New Roman" w:hAnsi="Arial" w:cs="Arial"/>
                <w:sz w:val="16"/>
                <w:szCs w:val="16"/>
                <w:lang w:eastAsia="es-CO"/>
              </w:rPr>
              <w:br/>
              <w:t>social, económico y ambiental.</w:t>
            </w:r>
          </w:p>
        </w:tc>
        <w:tc>
          <w:tcPr>
            <w:tcW w:w="1559" w:type="dxa"/>
            <w:tcBorders>
              <w:top w:val="nil"/>
              <w:left w:val="nil"/>
              <w:bottom w:val="single" w:sz="4" w:space="0" w:color="auto"/>
              <w:right w:val="single" w:sz="4" w:space="0" w:color="auto"/>
            </w:tcBorders>
            <w:shd w:val="clear" w:color="auto" w:fill="auto"/>
            <w:vAlign w:val="center"/>
            <w:hideMark/>
          </w:tcPr>
          <w:p w14:paraId="1006A7BC"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Fortalecer la planeación respecto a los permisos y licencias requeridas.</w:t>
            </w:r>
          </w:p>
        </w:tc>
        <w:tc>
          <w:tcPr>
            <w:tcW w:w="1844" w:type="dxa"/>
            <w:tcBorders>
              <w:top w:val="nil"/>
              <w:left w:val="nil"/>
              <w:bottom w:val="single" w:sz="4" w:space="0" w:color="auto"/>
              <w:right w:val="single" w:sz="4" w:space="0" w:color="auto"/>
            </w:tcBorders>
            <w:shd w:val="clear" w:color="auto" w:fill="auto"/>
            <w:vAlign w:val="center"/>
            <w:hideMark/>
          </w:tcPr>
          <w:p w14:paraId="6A5D98DB" w14:textId="459033F1"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Emitir lineamientos a las Subdirecciones Regionales de Apoyo sobre la pertinencia de tramitar o no licenciamiento para las actividades que involucren mantenimiento y/o adecuación de infraestructura </w:t>
            </w:r>
            <w:r w:rsidR="00E64695" w:rsidRPr="001B6060">
              <w:rPr>
                <w:rFonts w:ascii="Arial" w:eastAsia="Times New Roman" w:hAnsi="Arial" w:cs="Arial"/>
                <w:sz w:val="16"/>
                <w:szCs w:val="16"/>
                <w:lang w:eastAsia="es-CO"/>
              </w:rPr>
              <w:t>física</w:t>
            </w:r>
          </w:p>
        </w:tc>
        <w:tc>
          <w:tcPr>
            <w:tcW w:w="1011" w:type="dxa"/>
            <w:tcBorders>
              <w:top w:val="nil"/>
              <w:left w:val="nil"/>
              <w:bottom w:val="single" w:sz="4" w:space="0" w:color="auto"/>
              <w:right w:val="single" w:sz="4" w:space="0" w:color="auto"/>
            </w:tcBorders>
            <w:shd w:val="clear" w:color="auto" w:fill="auto"/>
            <w:vAlign w:val="center"/>
            <w:hideMark/>
          </w:tcPr>
          <w:p w14:paraId="23BE074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Documento con lineamientos</w:t>
            </w:r>
          </w:p>
        </w:tc>
        <w:tc>
          <w:tcPr>
            <w:tcW w:w="1119" w:type="dxa"/>
            <w:tcBorders>
              <w:top w:val="nil"/>
              <w:left w:val="nil"/>
              <w:bottom w:val="single" w:sz="4" w:space="0" w:color="auto"/>
              <w:right w:val="single" w:sz="4" w:space="0" w:color="auto"/>
            </w:tcBorders>
            <w:shd w:val="clear" w:color="auto" w:fill="auto"/>
            <w:vAlign w:val="center"/>
            <w:hideMark/>
          </w:tcPr>
          <w:p w14:paraId="4C2A73C7"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13A88797"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2023-07-01</w:t>
            </w:r>
          </w:p>
        </w:tc>
        <w:tc>
          <w:tcPr>
            <w:tcW w:w="1134" w:type="dxa"/>
            <w:tcBorders>
              <w:top w:val="nil"/>
              <w:left w:val="nil"/>
              <w:bottom w:val="single" w:sz="4" w:space="0" w:color="auto"/>
              <w:right w:val="single" w:sz="4" w:space="0" w:color="auto"/>
            </w:tcBorders>
            <w:shd w:val="clear" w:color="auto" w:fill="auto"/>
            <w:vAlign w:val="center"/>
            <w:hideMark/>
          </w:tcPr>
          <w:p w14:paraId="43666DB8"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2023-12-01</w:t>
            </w:r>
          </w:p>
        </w:tc>
        <w:tc>
          <w:tcPr>
            <w:tcW w:w="1816" w:type="dxa"/>
            <w:tcBorders>
              <w:top w:val="nil"/>
              <w:left w:val="nil"/>
              <w:bottom w:val="single" w:sz="4" w:space="0" w:color="auto"/>
              <w:right w:val="single" w:sz="4" w:space="0" w:color="auto"/>
            </w:tcBorders>
            <w:shd w:val="clear" w:color="000000" w:fill="FFFFFF"/>
            <w:vAlign w:val="center"/>
            <w:hideMark/>
          </w:tcPr>
          <w:p w14:paraId="4B8BF8B8"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21,86</w:t>
            </w:r>
          </w:p>
        </w:tc>
      </w:tr>
      <w:tr w:rsidR="001B6060" w:rsidRPr="001B6060" w14:paraId="3DC87D91" w14:textId="77777777" w:rsidTr="001B6060">
        <w:trPr>
          <w:trHeight w:val="274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9F2A731"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H.  3. Ejecución de obras complementarias - ítems no previstos previo a la aprobación por parte de la Entidad.</w:t>
            </w:r>
          </w:p>
        </w:tc>
        <w:tc>
          <w:tcPr>
            <w:tcW w:w="2836" w:type="dxa"/>
            <w:tcBorders>
              <w:top w:val="nil"/>
              <w:left w:val="nil"/>
              <w:bottom w:val="single" w:sz="4" w:space="0" w:color="auto"/>
              <w:right w:val="single" w:sz="4" w:space="0" w:color="auto"/>
            </w:tcBorders>
            <w:shd w:val="clear" w:color="auto" w:fill="auto"/>
            <w:vAlign w:val="center"/>
            <w:hideMark/>
          </w:tcPr>
          <w:p w14:paraId="5D04DCF0"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En el informe de supervisión No. 4 se registran 78 ítems NP o complementarios, observando que los ítems NP 74 al 78, no cuentan con soporte que evidencie la solicitud de aprobación de interventoría a la FGN, así como los soportes con sus </w:t>
            </w:r>
            <w:proofErr w:type="spellStart"/>
            <w:r w:rsidRPr="001B6060">
              <w:rPr>
                <w:rFonts w:ascii="Arial" w:eastAsia="Times New Roman" w:hAnsi="Arial" w:cs="Arial"/>
                <w:sz w:val="16"/>
                <w:szCs w:val="16"/>
                <w:lang w:eastAsia="es-CO"/>
              </w:rPr>
              <w:t>APU´s</w:t>
            </w:r>
            <w:proofErr w:type="spellEnd"/>
            <w:r w:rsidRPr="001B6060">
              <w:rPr>
                <w:rFonts w:ascii="Arial" w:eastAsia="Times New Roman" w:hAnsi="Arial" w:cs="Arial"/>
                <w:sz w:val="16"/>
                <w:szCs w:val="16"/>
                <w:lang w:eastAsia="es-CO"/>
              </w:rPr>
              <w:t>, donde aparecen ejecutados los cortes de obra 2, 3 y 4 para los periodos 1-31-Oct-2022, 1-30-Nov-2022 y 1-16-Dic-2022, respectivamente.</w:t>
            </w:r>
          </w:p>
        </w:tc>
        <w:tc>
          <w:tcPr>
            <w:tcW w:w="1700" w:type="dxa"/>
            <w:tcBorders>
              <w:top w:val="nil"/>
              <w:left w:val="nil"/>
              <w:bottom w:val="single" w:sz="4" w:space="0" w:color="auto"/>
              <w:right w:val="single" w:sz="4" w:space="0" w:color="auto"/>
            </w:tcBorders>
            <w:shd w:val="clear" w:color="auto" w:fill="auto"/>
            <w:vAlign w:val="center"/>
            <w:hideMark/>
          </w:tcPr>
          <w:p w14:paraId="1E9CD0BC"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Desconocimiento de lo indicado en el manual de contratación de la FGN para realizar obras complementarias previo a la aprobación de los </w:t>
            </w:r>
            <w:r w:rsidRPr="001B6060">
              <w:rPr>
                <w:rFonts w:ascii="Arial" w:eastAsia="Times New Roman" w:hAnsi="Arial" w:cs="Arial"/>
                <w:sz w:val="16"/>
                <w:szCs w:val="16"/>
                <w:lang w:eastAsia="es-CO"/>
              </w:rPr>
              <w:br/>
              <w:t>modificatorios por parte de la Junta de Contratación de Nivel Central.</w:t>
            </w:r>
          </w:p>
        </w:tc>
        <w:tc>
          <w:tcPr>
            <w:tcW w:w="1559" w:type="dxa"/>
            <w:tcBorders>
              <w:top w:val="nil"/>
              <w:left w:val="nil"/>
              <w:bottom w:val="single" w:sz="4" w:space="0" w:color="auto"/>
              <w:right w:val="single" w:sz="4" w:space="0" w:color="auto"/>
            </w:tcBorders>
            <w:shd w:val="clear" w:color="auto" w:fill="auto"/>
            <w:vAlign w:val="center"/>
            <w:hideMark/>
          </w:tcPr>
          <w:p w14:paraId="01008535" w14:textId="1E0052F3"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Sensibilizaciones a los supervisores </w:t>
            </w:r>
            <w:r w:rsidR="00E64695" w:rsidRPr="001B6060">
              <w:rPr>
                <w:rFonts w:ascii="Arial" w:eastAsia="Times New Roman" w:hAnsi="Arial" w:cs="Arial"/>
                <w:sz w:val="16"/>
                <w:szCs w:val="16"/>
                <w:lang w:eastAsia="es-CO"/>
              </w:rPr>
              <w:t>de apartes</w:t>
            </w:r>
            <w:r w:rsidRPr="001B6060">
              <w:rPr>
                <w:rFonts w:ascii="Arial" w:eastAsia="Times New Roman" w:hAnsi="Arial" w:cs="Arial"/>
                <w:sz w:val="16"/>
                <w:szCs w:val="16"/>
                <w:lang w:eastAsia="es-CO"/>
              </w:rPr>
              <w:t xml:space="preserve"> del Manual de </w:t>
            </w:r>
            <w:r w:rsidR="00E64695" w:rsidRPr="001B6060">
              <w:rPr>
                <w:rFonts w:ascii="Arial" w:eastAsia="Times New Roman" w:hAnsi="Arial" w:cs="Arial"/>
                <w:sz w:val="16"/>
                <w:szCs w:val="16"/>
                <w:lang w:eastAsia="es-CO"/>
              </w:rPr>
              <w:t>contratación</w:t>
            </w:r>
            <w:r w:rsidRPr="001B6060">
              <w:rPr>
                <w:rFonts w:ascii="Arial" w:eastAsia="Times New Roman" w:hAnsi="Arial" w:cs="Arial"/>
                <w:sz w:val="16"/>
                <w:szCs w:val="16"/>
                <w:lang w:eastAsia="es-CO"/>
              </w:rPr>
              <w:t xml:space="preserve"> </w:t>
            </w:r>
          </w:p>
        </w:tc>
        <w:tc>
          <w:tcPr>
            <w:tcW w:w="1844" w:type="dxa"/>
            <w:tcBorders>
              <w:top w:val="nil"/>
              <w:left w:val="nil"/>
              <w:bottom w:val="single" w:sz="4" w:space="0" w:color="auto"/>
              <w:right w:val="single" w:sz="4" w:space="0" w:color="auto"/>
            </w:tcBorders>
            <w:shd w:val="clear" w:color="auto" w:fill="auto"/>
            <w:vAlign w:val="center"/>
            <w:hideMark/>
          </w:tcPr>
          <w:p w14:paraId="0C02EB9E" w14:textId="4052FAB0"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Solicitar a la Sub. Gestión Contractual </w:t>
            </w:r>
            <w:r w:rsidR="00E64695" w:rsidRPr="001B6060">
              <w:rPr>
                <w:rFonts w:ascii="Arial" w:eastAsia="Times New Roman" w:hAnsi="Arial" w:cs="Arial"/>
                <w:sz w:val="16"/>
                <w:szCs w:val="16"/>
                <w:lang w:eastAsia="es-CO"/>
              </w:rPr>
              <w:t>sensibilización respecto</w:t>
            </w:r>
            <w:r w:rsidRPr="001B6060">
              <w:rPr>
                <w:rFonts w:ascii="Arial" w:eastAsia="Times New Roman" w:hAnsi="Arial" w:cs="Arial"/>
                <w:sz w:val="16"/>
                <w:szCs w:val="16"/>
                <w:lang w:eastAsia="es-CO"/>
              </w:rPr>
              <w:t xml:space="preserve"> a las funciones, obligaciones, modificaciones, prórrogas, adiciones; consignados en el manual de contratación de la Entidad, </w:t>
            </w:r>
            <w:r w:rsidR="00E64695" w:rsidRPr="001B6060">
              <w:rPr>
                <w:rFonts w:ascii="Arial" w:eastAsia="Times New Roman" w:hAnsi="Arial" w:cs="Arial"/>
                <w:sz w:val="16"/>
                <w:szCs w:val="16"/>
                <w:lang w:eastAsia="es-CO"/>
              </w:rPr>
              <w:t>específicamente</w:t>
            </w:r>
            <w:r w:rsidRPr="001B6060">
              <w:rPr>
                <w:rFonts w:ascii="Arial" w:eastAsia="Times New Roman" w:hAnsi="Arial" w:cs="Arial"/>
                <w:sz w:val="16"/>
                <w:szCs w:val="16"/>
                <w:lang w:eastAsia="es-CO"/>
              </w:rPr>
              <w:t xml:space="preserve"> en contratos de obras</w:t>
            </w:r>
          </w:p>
        </w:tc>
        <w:tc>
          <w:tcPr>
            <w:tcW w:w="1011" w:type="dxa"/>
            <w:tcBorders>
              <w:top w:val="nil"/>
              <w:left w:val="nil"/>
              <w:bottom w:val="single" w:sz="4" w:space="0" w:color="auto"/>
              <w:right w:val="single" w:sz="4" w:space="0" w:color="auto"/>
            </w:tcBorders>
            <w:shd w:val="clear" w:color="auto" w:fill="auto"/>
            <w:vAlign w:val="center"/>
            <w:hideMark/>
          </w:tcPr>
          <w:p w14:paraId="6715CA1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solicitud</w:t>
            </w:r>
          </w:p>
        </w:tc>
        <w:tc>
          <w:tcPr>
            <w:tcW w:w="1119" w:type="dxa"/>
            <w:tcBorders>
              <w:top w:val="nil"/>
              <w:left w:val="nil"/>
              <w:bottom w:val="single" w:sz="4" w:space="0" w:color="auto"/>
              <w:right w:val="single" w:sz="4" w:space="0" w:color="auto"/>
            </w:tcBorders>
            <w:shd w:val="clear" w:color="auto" w:fill="auto"/>
            <w:vAlign w:val="center"/>
            <w:hideMark/>
          </w:tcPr>
          <w:p w14:paraId="49F5BFF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73D210FD"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2023-07-01</w:t>
            </w:r>
          </w:p>
        </w:tc>
        <w:tc>
          <w:tcPr>
            <w:tcW w:w="1134" w:type="dxa"/>
            <w:tcBorders>
              <w:top w:val="nil"/>
              <w:left w:val="nil"/>
              <w:bottom w:val="single" w:sz="4" w:space="0" w:color="auto"/>
              <w:right w:val="single" w:sz="4" w:space="0" w:color="auto"/>
            </w:tcBorders>
            <w:shd w:val="clear" w:color="auto" w:fill="auto"/>
            <w:vAlign w:val="center"/>
            <w:hideMark/>
          </w:tcPr>
          <w:p w14:paraId="5CE2A4D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2023-09-30</w:t>
            </w:r>
          </w:p>
        </w:tc>
        <w:tc>
          <w:tcPr>
            <w:tcW w:w="1816" w:type="dxa"/>
            <w:tcBorders>
              <w:top w:val="nil"/>
              <w:left w:val="nil"/>
              <w:bottom w:val="single" w:sz="4" w:space="0" w:color="auto"/>
              <w:right w:val="single" w:sz="4" w:space="0" w:color="auto"/>
            </w:tcBorders>
            <w:shd w:val="clear" w:color="000000" w:fill="FFFFFF"/>
            <w:vAlign w:val="center"/>
            <w:hideMark/>
          </w:tcPr>
          <w:p w14:paraId="7DDA610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13,00</w:t>
            </w:r>
          </w:p>
        </w:tc>
      </w:tr>
      <w:tr w:rsidR="001B6060" w:rsidRPr="001B6060" w14:paraId="76289569" w14:textId="77777777" w:rsidTr="001B6060">
        <w:trPr>
          <w:trHeight w:val="298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4F85F69F"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3. Ejecución de obras complementarias - ítems no previstos previo a la aprobación por parte de la Entidad.</w:t>
            </w:r>
          </w:p>
        </w:tc>
        <w:tc>
          <w:tcPr>
            <w:tcW w:w="2836" w:type="dxa"/>
            <w:tcBorders>
              <w:top w:val="nil"/>
              <w:left w:val="nil"/>
              <w:bottom w:val="single" w:sz="4" w:space="0" w:color="auto"/>
              <w:right w:val="single" w:sz="4" w:space="0" w:color="auto"/>
            </w:tcBorders>
            <w:shd w:val="clear" w:color="auto" w:fill="auto"/>
            <w:vAlign w:val="center"/>
            <w:hideMark/>
          </w:tcPr>
          <w:p w14:paraId="61530E85"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En el informe de supervisión No. 4 se registran 78 ítems NP o complementarios, observando que los ítems NP 74 al 78, no cuentan con soporte que evidencie la solicitud de aprobación de interventoría a la FGN, así como los soportes con sus </w:t>
            </w:r>
            <w:proofErr w:type="spellStart"/>
            <w:r w:rsidRPr="001B6060">
              <w:rPr>
                <w:rFonts w:ascii="Arial" w:eastAsia="Times New Roman" w:hAnsi="Arial" w:cs="Arial"/>
                <w:sz w:val="16"/>
                <w:szCs w:val="16"/>
                <w:lang w:eastAsia="es-CO"/>
              </w:rPr>
              <w:t>APU´s</w:t>
            </w:r>
            <w:proofErr w:type="spellEnd"/>
            <w:r w:rsidRPr="001B6060">
              <w:rPr>
                <w:rFonts w:ascii="Arial" w:eastAsia="Times New Roman" w:hAnsi="Arial" w:cs="Arial"/>
                <w:sz w:val="16"/>
                <w:szCs w:val="16"/>
                <w:lang w:eastAsia="es-CO"/>
              </w:rPr>
              <w:t>, donde aparecen ejecutados los cortes de obra 2, 3 y 4 para los periodos 1-31-Oct-2022, 1-30-Nov-2022 y 1-16-Dic-2022, respectivamente.</w:t>
            </w:r>
          </w:p>
        </w:tc>
        <w:tc>
          <w:tcPr>
            <w:tcW w:w="1700" w:type="dxa"/>
            <w:tcBorders>
              <w:top w:val="nil"/>
              <w:left w:val="nil"/>
              <w:bottom w:val="single" w:sz="4" w:space="0" w:color="auto"/>
              <w:right w:val="single" w:sz="4" w:space="0" w:color="auto"/>
            </w:tcBorders>
            <w:shd w:val="clear" w:color="auto" w:fill="auto"/>
            <w:vAlign w:val="center"/>
            <w:hideMark/>
          </w:tcPr>
          <w:p w14:paraId="4A60FF93"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Desconocimiento de lo indicado en el manual de contratación de la FGN para realizar obras complementarias previo a la aprobación de los </w:t>
            </w:r>
            <w:r w:rsidRPr="001B6060">
              <w:rPr>
                <w:rFonts w:ascii="Arial" w:eastAsia="Times New Roman" w:hAnsi="Arial" w:cs="Arial"/>
                <w:sz w:val="16"/>
                <w:szCs w:val="16"/>
                <w:lang w:eastAsia="es-CO"/>
              </w:rPr>
              <w:br/>
              <w:t>modificatorios por parte de la Junta de Contratación de Nivel Central.</w:t>
            </w:r>
          </w:p>
        </w:tc>
        <w:tc>
          <w:tcPr>
            <w:tcW w:w="1559" w:type="dxa"/>
            <w:tcBorders>
              <w:top w:val="nil"/>
              <w:left w:val="nil"/>
              <w:bottom w:val="single" w:sz="4" w:space="0" w:color="auto"/>
              <w:right w:val="single" w:sz="4" w:space="0" w:color="auto"/>
            </w:tcBorders>
            <w:shd w:val="clear" w:color="auto" w:fill="auto"/>
            <w:vAlign w:val="center"/>
            <w:hideMark/>
          </w:tcPr>
          <w:p w14:paraId="06397C87" w14:textId="1CECD963"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Sensibilizaciones a los supervisores </w:t>
            </w:r>
            <w:r w:rsidR="00E64695" w:rsidRPr="001B6060">
              <w:rPr>
                <w:rFonts w:ascii="Arial" w:eastAsia="Times New Roman" w:hAnsi="Arial" w:cs="Arial"/>
                <w:sz w:val="16"/>
                <w:szCs w:val="16"/>
                <w:lang w:eastAsia="es-CO"/>
              </w:rPr>
              <w:t>de apartes</w:t>
            </w:r>
            <w:r w:rsidRPr="001B6060">
              <w:rPr>
                <w:rFonts w:ascii="Arial" w:eastAsia="Times New Roman" w:hAnsi="Arial" w:cs="Arial"/>
                <w:sz w:val="16"/>
                <w:szCs w:val="16"/>
                <w:lang w:eastAsia="es-CO"/>
              </w:rPr>
              <w:t xml:space="preserve"> del Manual de </w:t>
            </w:r>
            <w:r w:rsidR="00E64695" w:rsidRPr="001B6060">
              <w:rPr>
                <w:rFonts w:ascii="Arial" w:eastAsia="Times New Roman" w:hAnsi="Arial" w:cs="Arial"/>
                <w:sz w:val="16"/>
                <w:szCs w:val="16"/>
                <w:lang w:eastAsia="es-CO"/>
              </w:rPr>
              <w:t>contratación</w:t>
            </w:r>
            <w:r w:rsidRPr="001B6060">
              <w:rPr>
                <w:rFonts w:ascii="Arial" w:eastAsia="Times New Roman" w:hAnsi="Arial" w:cs="Arial"/>
                <w:sz w:val="16"/>
                <w:szCs w:val="16"/>
                <w:lang w:eastAsia="es-CO"/>
              </w:rPr>
              <w:t xml:space="preserve"> </w:t>
            </w:r>
          </w:p>
        </w:tc>
        <w:tc>
          <w:tcPr>
            <w:tcW w:w="1844" w:type="dxa"/>
            <w:tcBorders>
              <w:top w:val="nil"/>
              <w:left w:val="nil"/>
              <w:bottom w:val="single" w:sz="4" w:space="0" w:color="auto"/>
              <w:right w:val="single" w:sz="4" w:space="0" w:color="auto"/>
            </w:tcBorders>
            <w:shd w:val="clear" w:color="auto" w:fill="auto"/>
            <w:vAlign w:val="center"/>
            <w:hideMark/>
          </w:tcPr>
          <w:p w14:paraId="666AFD84" w14:textId="21B66002"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Realizar sensibilizaciones a los responsables del DCAS a Nivel Nacional, respecto a las funciones, obligaciones, modificaciones, prórrogas, adiciones; consignados en el manual de contratación de la Entidad, </w:t>
            </w:r>
            <w:r w:rsidR="00E64695" w:rsidRPr="001B6060">
              <w:rPr>
                <w:rFonts w:ascii="Arial" w:eastAsia="Times New Roman" w:hAnsi="Arial" w:cs="Arial"/>
                <w:sz w:val="16"/>
                <w:szCs w:val="16"/>
                <w:lang w:eastAsia="es-CO"/>
              </w:rPr>
              <w:t>específicamente</w:t>
            </w:r>
            <w:r w:rsidRPr="001B6060">
              <w:rPr>
                <w:rFonts w:ascii="Arial" w:eastAsia="Times New Roman" w:hAnsi="Arial" w:cs="Arial"/>
                <w:sz w:val="16"/>
                <w:szCs w:val="16"/>
                <w:lang w:eastAsia="es-CO"/>
              </w:rPr>
              <w:t xml:space="preserve"> en contratos de obra</w:t>
            </w:r>
          </w:p>
        </w:tc>
        <w:tc>
          <w:tcPr>
            <w:tcW w:w="1011" w:type="dxa"/>
            <w:tcBorders>
              <w:top w:val="nil"/>
              <w:left w:val="nil"/>
              <w:bottom w:val="single" w:sz="4" w:space="0" w:color="auto"/>
              <w:right w:val="single" w:sz="4" w:space="0" w:color="auto"/>
            </w:tcBorders>
            <w:shd w:val="clear" w:color="auto" w:fill="auto"/>
            <w:vAlign w:val="center"/>
            <w:hideMark/>
          </w:tcPr>
          <w:p w14:paraId="318C8CD1" w14:textId="1633B079"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correo </w:t>
            </w:r>
            <w:r w:rsidR="00E64695" w:rsidRPr="001B6060">
              <w:rPr>
                <w:rFonts w:ascii="Arial" w:eastAsia="Times New Roman" w:hAnsi="Arial" w:cs="Arial"/>
                <w:sz w:val="16"/>
                <w:szCs w:val="16"/>
                <w:lang w:eastAsia="es-CO"/>
              </w:rPr>
              <w:t>electrónico</w:t>
            </w:r>
          </w:p>
        </w:tc>
        <w:tc>
          <w:tcPr>
            <w:tcW w:w="1119" w:type="dxa"/>
            <w:tcBorders>
              <w:top w:val="nil"/>
              <w:left w:val="nil"/>
              <w:bottom w:val="single" w:sz="4" w:space="0" w:color="auto"/>
              <w:right w:val="single" w:sz="4" w:space="0" w:color="auto"/>
            </w:tcBorders>
            <w:shd w:val="clear" w:color="auto" w:fill="auto"/>
            <w:vAlign w:val="center"/>
            <w:hideMark/>
          </w:tcPr>
          <w:p w14:paraId="7802FBE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2587904F"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2023-10-01</w:t>
            </w:r>
          </w:p>
        </w:tc>
        <w:tc>
          <w:tcPr>
            <w:tcW w:w="1134" w:type="dxa"/>
            <w:tcBorders>
              <w:top w:val="nil"/>
              <w:left w:val="nil"/>
              <w:bottom w:val="single" w:sz="4" w:space="0" w:color="auto"/>
              <w:right w:val="single" w:sz="4" w:space="0" w:color="auto"/>
            </w:tcBorders>
            <w:shd w:val="clear" w:color="auto" w:fill="auto"/>
            <w:vAlign w:val="center"/>
            <w:hideMark/>
          </w:tcPr>
          <w:p w14:paraId="5CB7FF0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2024-03-31</w:t>
            </w:r>
          </w:p>
        </w:tc>
        <w:tc>
          <w:tcPr>
            <w:tcW w:w="1816" w:type="dxa"/>
            <w:tcBorders>
              <w:top w:val="nil"/>
              <w:left w:val="nil"/>
              <w:bottom w:val="single" w:sz="4" w:space="0" w:color="auto"/>
              <w:right w:val="single" w:sz="4" w:space="0" w:color="auto"/>
            </w:tcBorders>
            <w:shd w:val="clear" w:color="000000" w:fill="FFFFFF"/>
            <w:vAlign w:val="center"/>
            <w:hideMark/>
          </w:tcPr>
          <w:p w14:paraId="19C0026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26,00</w:t>
            </w:r>
          </w:p>
        </w:tc>
      </w:tr>
      <w:tr w:rsidR="001B6060" w:rsidRPr="001B6060" w14:paraId="582246EC" w14:textId="77777777" w:rsidTr="001B6060">
        <w:trPr>
          <w:trHeight w:val="26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DF8CA3E"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4. Mayor valor reconocido contrato FGN-RO-0020-2021 (BA)</w:t>
            </w:r>
          </w:p>
        </w:tc>
        <w:tc>
          <w:tcPr>
            <w:tcW w:w="2836" w:type="dxa"/>
            <w:tcBorders>
              <w:top w:val="nil"/>
              <w:left w:val="nil"/>
              <w:bottom w:val="single" w:sz="4" w:space="0" w:color="auto"/>
              <w:right w:val="single" w:sz="4" w:space="0" w:color="auto"/>
            </w:tcBorders>
            <w:shd w:val="clear" w:color="auto" w:fill="auto"/>
            <w:vAlign w:val="center"/>
            <w:hideMark/>
          </w:tcPr>
          <w:p w14:paraId="1C7371FC"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Al efectuar la revisión de la justificación técnica dada por el contratista y aceptada por la supervisión, se aprobó la ampliación de columnas de 15x15 a 20x20, reforzadas con zapatas aisladas de 60x60x40 de la adición del 01-12-2021, que fueron reconocidas en cantidades superiores a las requeridas para la ejecución del ítem unitario conforme a las unidades contractualmente reconocidas.</w:t>
            </w:r>
          </w:p>
        </w:tc>
        <w:tc>
          <w:tcPr>
            <w:tcW w:w="1700" w:type="dxa"/>
            <w:tcBorders>
              <w:top w:val="nil"/>
              <w:left w:val="nil"/>
              <w:bottom w:val="single" w:sz="4" w:space="0" w:color="auto"/>
              <w:right w:val="single" w:sz="4" w:space="0" w:color="auto"/>
            </w:tcBorders>
            <w:shd w:val="clear" w:color="auto" w:fill="auto"/>
            <w:vAlign w:val="center"/>
            <w:hideMark/>
          </w:tcPr>
          <w:p w14:paraId="13E892A3"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Deficiencias en la supervisión del contrato.</w:t>
            </w:r>
          </w:p>
        </w:tc>
        <w:tc>
          <w:tcPr>
            <w:tcW w:w="1559" w:type="dxa"/>
            <w:tcBorders>
              <w:top w:val="nil"/>
              <w:left w:val="nil"/>
              <w:bottom w:val="single" w:sz="4" w:space="0" w:color="auto"/>
              <w:right w:val="single" w:sz="4" w:space="0" w:color="auto"/>
            </w:tcBorders>
            <w:shd w:val="clear" w:color="auto" w:fill="auto"/>
            <w:vAlign w:val="center"/>
            <w:hideMark/>
          </w:tcPr>
          <w:p w14:paraId="5C4E32A2"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Reunión de verificación de los APUS</w:t>
            </w:r>
          </w:p>
        </w:tc>
        <w:tc>
          <w:tcPr>
            <w:tcW w:w="1844" w:type="dxa"/>
            <w:tcBorders>
              <w:top w:val="nil"/>
              <w:left w:val="nil"/>
              <w:bottom w:val="single" w:sz="4" w:space="0" w:color="auto"/>
              <w:right w:val="single" w:sz="4" w:space="0" w:color="auto"/>
            </w:tcBorders>
            <w:shd w:val="clear" w:color="auto" w:fill="auto"/>
            <w:vAlign w:val="center"/>
            <w:hideMark/>
          </w:tcPr>
          <w:p w14:paraId="3EF94C44" w14:textId="08123383"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Adelantar mesa de trabajo con el fin de verificar los APUS con DCAS, en cuanto a su contenido técnico, y apoyar en este aspecto la revisión de </w:t>
            </w:r>
            <w:r w:rsidR="00E64695" w:rsidRPr="001B6060">
              <w:rPr>
                <w:rFonts w:ascii="Arial" w:eastAsia="Times New Roman" w:hAnsi="Arial" w:cs="Arial"/>
                <w:sz w:val="16"/>
                <w:szCs w:val="16"/>
                <w:lang w:eastAsia="es-CO"/>
              </w:rPr>
              <w:t>análisis</w:t>
            </w:r>
            <w:r w:rsidRPr="001B6060">
              <w:rPr>
                <w:rFonts w:ascii="Arial" w:eastAsia="Times New Roman" w:hAnsi="Arial" w:cs="Arial"/>
                <w:sz w:val="16"/>
                <w:szCs w:val="16"/>
                <w:lang w:eastAsia="es-CO"/>
              </w:rPr>
              <w:t xml:space="preserve"> de precios unitarios (APUS) en los contratos de mantenimiento. </w:t>
            </w:r>
          </w:p>
        </w:tc>
        <w:tc>
          <w:tcPr>
            <w:tcW w:w="1011" w:type="dxa"/>
            <w:tcBorders>
              <w:top w:val="nil"/>
              <w:left w:val="nil"/>
              <w:bottom w:val="single" w:sz="4" w:space="0" w:color="auto"/>
              <w:right w:val="single" w:sz="4" w:space="0" w:color="auto"/>
            </w:tcBorders>
            <w:shd w:val="clear" w:color="auto" w:fill="auto"/>
            <w:vAlign w:val="center"/>
            <w:hideMark/>
          </w:tcPr>
          <w:p w14:paraId="7CEF9741"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acta </w:t>
            </w:r>
          </w:p>
        </w:tc>
        <w:tc>
          <w:tcPr>
            <w:tcW w:w="1119" w:type="dxa"/>
            <w:tcBorders>
              <w:top w:val="nil"/>
              <w:left w:val="nil"/>
              <w:bottom w:val="single" w:sz="4" w:space="0" w:color="auto"/>
              <w:right w:val="single" w:sz="4" w:space="0" w:color="auto"/>
            </w:tcBorders>
            <w:shd w:val="clear" w:color="auto" w:fill="auto"/>
            <w:vAlign w:val="center"/>
            <w:hideMark/>
          </w:tcPr>
          <w:p w14:paraId="0E8A8E8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748B8D7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28BEEAB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2024-06-30</w:t>
            </w:r>
          </w:p>
        </w:tc>
        <w:tc>
          <w:tcPr>
            <w:tcW w:w="1816" w:type="dxa"/>
            <w:tcBorders>
              <w:top w:val="nil"/>
              <w:left w:val="nil"/>
              <w:bottom w:val="single" w:sz="4" w:space="0" w:color="auto"/>
              <w:right w:val="single" w:sz="4" w:space="0" w:color="auto"/>
            </w:tcBorders>
            <w:shd w:val="clear" w:color="000000" w:fill="FFFFFF"/>
            <w:vAlign w:val="center"/>
            <w:hideMark/>
          </w:tcPr>
          <w:p w14:paraId="3F3E67D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47,71</w:t>
            </w:r>
          </w:p>
        </w:tc>
      </w:tr>
      <w:tr w:rsidR="001B6060" w:rsidRPr="001B6060" w14:paraId="642B7293" w14:textId="77777777" w:rsidTr="001B6060">
        <w:trPr>
          <w:trHeight w:val="238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36079ED5"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H.  5. Actualización Sistema Único de Gestión e Información de la actividad litigiosa del Estado “e-Kogui”.</w:t>
            </w:r>
          </w:p>
        </w:tc>
        <w:tc>
          <w:tcPr>
            <w:tcW w:w="2836" w:type="dxa"/>
            <w:tcBorders>
              <w:top w:val="nil"/>
              <w:left w:val="nil"/>
              <w:bottom w:val="single" w:sz="4" w:space="0" w:color="auto"/>
              <w:right w:val="single" w:sz="4" w:space="0" w:color="auto"/>
            </w:tcBorders>
            <w:shd w:val="clear" w:color="auto" w:fill="auto"/>
            <w:vAlign w:val="center"/>
            <w:hideMark/>
          </w:tcPr>
          <w:p w14:paraId="5D6515B6" w14:textId="3999C02B"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No se</w:t>
            </w:r>
            <w:r w:rsidR="00E64695">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califica riesgo en</w:t>
            </w:r>
            <w:r w:rsidR="00CD68E6">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procesos</w:t>
            </w:r>
            <w:r w:rsidR="00CD68E6">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judiciales cada</w:t>
            </w:r>
            <w:r w:rsidR="00CD68E6">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6meses y</w:t>
            </w:r>
            <w:r w:rsidR="00CD68E6">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cuando se</w:t>
            </w:r>
            <w:r w:rsidR="00CD68E6">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 xml:space="preserve">profiere </w:t>
            </w:r>
            <w:proofErr w:type="spellStart"/>
            <w:r w:rsidRPr="001B6060">
              <w:rPr>
                <w:rFonts w:ascii="Arial" w:eastAsia="Times New Roman" w:hAnsi="Arial" w:cs="Arial"/>
                <w:sz w:val="16"/>
                <w:szCs w:val="16"/>
                <w:lang w:eastAsia="es-CO"/>
              </w:rPr>
              <w:t>sent</w:t>
            </w:r>
            <w:proofErr w:type="spellEnd"/>
            <w:r w:rsidR="00CD68E6">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judicial; Existen procesos con fallos desfavorables de 2da_instancia ejecutoriada registrada en el sistema eKOGUI, sin embargo, en la columna de registro sugerido en el sistema es “no registro en contabilidad”, aun cuando en la contabilidad están registradas de forma correcta en las cuentas por pagar.</w:t>
            </w:r>
          </w:p>
        </w:tc>
        <w:tc>
          <w:tcPr>
            <w:tcW w:w="1700" w:type="dxa"/>
            <w:tcBorders>
              <w:top w:val="nil"/>
              <w:left w:val="nil"/>
              <w:bottom w:val="single" w:sz="4" w:space="0" w:color="auto"/>
              <w:right w:val="single" w:sz="4" w:space="0" w:color="auto"/>
            </w:tcBorders>
            <w:shd w:val="clear" w:color="auto" w:fill="auto"/>
            <w:vAlign w:val="center"/>
            <w:hideMark/>
          </w:tcPr>
          <w:p w14:paraId="09FEDA23"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Falta fortalecer el seguimiento al registro de datos en el sistema eKOGUI</w:t>
            </w:r>
          </w:p>
        </w:tc>
        <w:tc>
          <w:tcPr>
            <w:tcW w:w="1559" w:type="dxa"/>
            <w:tcBorders>
              <w:top w:val="nil"/>
              <w:left w:val="nil"/>
              <w:bottom w:val="single" w:sz="4" w:space="0" w:color="auto"/>
              <w:right w:val="single" w:sz="4" w:space="0" w:color="auto"/>
            </w:tcBorders>
            <w:shd w:val="clear" w:color="auto" w:fill="auto"/>
            <w:vAlign w:val="center"/>
            <w:hideMark/>
          </w:tcPr>
          <w:p w14:paraId="11031D3A" w14:textId="773EE40E"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Elaborar oficio con destino a todos los abogados de la DAJ, </w:t>
            </w:r>
            <w:r w:rsidR="00CD68E6" w:rsidRPr="001B6060">
              <w:rPr>
                <w:rFonts w:ascii="Arial" w:eastAsia="Times New Roman" w:hAnsi="Arial" w:cs="Arial"/>
                <w:sz w:val="16"/>
                <w:szCs w:val="16"/>
                <w:lang w:eastAsia="es-CO"/>
              </w:rPr>
              <w:t>recordándoles</w:t>
            </w:r>
            <w:r w:rsidRPr="001B6060">
              <w:rPr>
                <w:rFonts w:ascii="Arial" w:eastAsia="Times New Roman" w:hAnsi="Arial" w:cs="Arial"/>
                <w:sz w:val="16"/>
                <w:szCs w:val="16"/>
                <w:lang w:eastAsia="es-CO"/>
              </w:rPr>
              <w:t xml:space="preserve"> la </w:t>
            </w:r>
            <w:proofErr w:type="spellStart"/>
            <w:r w:rsidRPr="001B6060">
              <w:rPr>
                <w:rFonts w:ascii="Arial" w:eastAsia="Times New Roman" w:hAnsi="Arial" w:cs="Arial"/>
                <w:sz w:val="16"/>
                <w:szCs w:val="16"/>
                <w:lang w:eastAsia="es-CO"/>
              </w:rPr>
              <w:t>obligatoridad</w:t>
            </w:r>
            <w:proofErr w:type="spellEnd"/>
            <w:r w:rsidRPr="001B6060">
              <w:rPr>
                <w:rFonts w:ascii="Arial" w:eastAsia="Times New Roman" w:hAnsi="Arial" w:cs="Arial"/>
                <w:sz w:val="16"/>
                <w:szCs w:val="16"/>
                <w:lang w:eastAsia="es-CO"/>
              </w:rPr>
              <w:t xml:space="preserve"> de </w:t>
            </w:r>
            <w:r w:rsidR="00CD68E6" w:rsidRPr="001B6060">
              <w:rPr>
                <w:rFonts w:ascii="Arial" w:eastAsia="Times New Roman" w:hAnsi="Arial" w:cs="Arial"/>
                <w:sz w:val="16"/>
                <w:szCs w:val="16"/>
                <w:lang w:eastAsia="es-CO"/>
              </w:rPr>
              <w:t>dar cumplimiento</w:t>
            </w:r>
            <w:r w:rsidRPr="001B6060">
              <w:rPr>
                <w:rFonts w:ascii="Arial" w:eastAsia="Times New Roman" w:hAnsi="Arial" w:cs="Arial"/>
                <w:sz w:val="16"/>
                <w:szCs w:val="16"/>
                <w:lang w:eastAsia="es-CO"/>
              </w:rPr>
              <w:t xml:space="preserve"> al Art.  2.2.3.4.1.10.  Decreto 1069 de 2015</w:t>
            </w:r>
          </w:p>
        </w:tc>
        <w:tc>
          <w:tcPr>
            <w:tcW w:w="1844" w:type="dxa"/>
            <w:tcBorders>
              <w:top w:val="nil"/>
              <w:left w:val="nil"/>
              <w:bottom w:val="single" w:sz="4" w:space="0" w:color="auto"/>
              <w:right w:val="single" w:sz="4" w:space="0" w:color="auto"/>
            </w:tcBorders>
            <w:shd w:val="clear" w:color="auto" w:fill="auto"/>
            <w:vAlign w:val="center"/>
            <w:hideMark/>
          </w:tcPr>
          <w:p w14:paraId="3F84E980" w14:textId="5524E27A"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Emitir Circular a nivel Nacional, para conocimiento de todos los abogados, sobre sus deberes frente al </w:t>
            </w:r>
            <w:r w:rsidR="00CD68E6" w:rsidRPr="001B6060">
              <w:rPr>
                <w:rFonts w:ascii="Arial" w:eastAsia="Times New Roman" w:hAnsi="Arial" w:cs="Arial"/>
                <w:sz w:val="16"/>
                <w:szCs w:val="16"/>
                <w:lang w:eastAsia="es-CO"/>
              </w:rPr>
              <w:t>sistema</w:t>
            </w:r>
            <w:r w:rsidRPr="001B6060">
              <w:rPr>
                <w:rFonts w:ascii="Arial" w:eastAsia="Times New Roman" w:hAnsi="Arial" w:cs="Arial"/>
                <w:sz w:val="16"/>
                <w:szCs w:val="16"/>
                <w:lang w:eastAsia="es-CO"/>
              </w:rPr>
              <w:t xml:space="preserve"> Ekogui</w:t>
            </w:r>
          </w:p>
        </w:tc>
        <w:tc>
          <w:tcPr>
            <w:tcW w:w="1011" w:type="dxa"/>
            <w:tcBorders>
              <w:top w:val="nil"/>
              <w:left w:val="nil"/>
              <w:bottom w:val="single" w:sz="4" w:space="0" w:color="auto"/>
              <w:right w:val="single" w:sz="4" w:space="0" w:color="auto"/>
            </w:tcBorders>
            <w:shd w:val="clear" w:color="auto" w:fill="auto"/>
            <w:vAlign w:val="center"/>
            <w:hideMark/>
          </w:tcPr>
          <w:p w14:paraId="68FEAC83"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Documento</w:t>
            </w:r>
          </w:p>
        </w:tc>
        <w:tc>
          <w:tcPr>
            <w:tcW w:w="1119" w:type="dxa"/>
            <w:tcBorders>
              <w:top w:val="nil"/>
              <w:left w:val="nil"/>
              <w:bottom w:val="single" w:sz="4" w:space="0" w:color="auto"/>
              <w:right w:val="single" w:sz="4" w:space="0" w:color="auto"/>
            </w:tcBorders>
            <w:shd w:val="clear" w:color="auto" w:fill="auto"/>
            <w:vAlign w:val="center"/>
            <w:hideMark/>
          </w:tcPr>
          <w:p w14:paraId="0D2D15B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15A65463"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2023-07-01</w:t>
            </w:r>
          </w:p>
        </w:tc>
        <w:tc>
          <w:tcPr>
            <w:tcW w:w="1134" w:type="dxa"/>
            <w:tcBorders>
              <w:top w:val="nil"/>
              <w:left w:val="nil"/>
              <w:bottom w:val="single" w:sz="4" w:space="0" w:color="auto"/>
              <w:right w:val="single" w:sz="4" w:space="0" w:color="auto"/>
            </w:tcBorders>
            <w:shd w:val="clear" w:color="auto" w:fill="auto"/>
            <w:vAlign w:val="center"/>
            <w:hideMark/>
          </w:tcPr>
          <w:p w14:paraId="2900241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2023-09-30</w:t>
            </w:r>
          </w:p>
        </w:tc>
        <w:tc>
          <w:tcPr>
            <w:tcW w:w="1816" w:type="dxa"/>
            <w:tcBorders>
              <w:top w:val="nil"/>
              <w:left w:val="nil"/>
              <w:bottom w:val="single" w:sz="4" w:space="0" w:color="auto"/>
              <w:right w:val="single" w:sz="4" w:space="0" w:color="auto"/>
            </w:tcBorders>
            <w:shd w:val="clear" w:color="000000" w:fill="FFFFFF"/>
            <w:vAlign w:val="center"/>
            <w:hideMark/>
          </w:tcPr>
          <w:p w14:paraId="057492A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13,00</w:t>
            </w:r>
          </w:p>
        </w:tc>
      </w:tr>
      <w:tr w:rsidR="001B6060" w:rsidRPr="001B6060" w14:paraId="7BFDA904" w14:textId="77777777" w:rsidTr="001B6060">
        <w:trPr>
          <w:trHeight w:val="238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1D7640A"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5. Actualización Sistema Único de Gestión e Información de la actividad litigiosa del Estado “e-Kogui”.</w:t>
            </w:r>
          </w:p>
        </w:tc>
        <w:tc>
          <w:tcPr>
            <w:tcW w:w="2836" w:type="dxa"/>
            <w:tcBorders>
              <w:top w:val="nil"/>
              <w:left w:val="nil"/>
              <w:bottom w:val="single" w:sz="4" w:space="0" w:color="auto"/>
              <w:right w:val="single" w:sz="4" w:space="0" w:color="auto"/>
            </w:tcBorders>
            <w:shd w:val="clear" w:color="auto" w:fill="auto"/>
            <w:vAlign w:val="center"/>
            <w:hideMark/>
          </w:tcPr>
          <w:p w14:paraId="6F25D063" w14:textId="05746E99" w:rsidR="001B6060" w:rsidRPr="001B6060" w:rsidRDefault="00CD68E6"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No se</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califica riesgo en</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procesos</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judiciales cada</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6meses y</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cuando se</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 xml:space="preserve">profiere </w:t>
            </w:r>
            <w:proofErr w:type="spellStart"/>
            <w:r w:rsidRPr="001B6060">
              <w:rPr>
                <w:rFonts w:ascii="Arial" w:eastAsia="Times New Roman" w:hAnsi="Arial" w:cs="Arial"/>
                <w:sz w:val="16"/>
                <w:szCs w:val="16"/>
                <w:lang w:eastAsia="es-CO"/>
              </w:rPr>
              <w:t>sent</w:t>
            </w:r>
            <w:proofErr w:type="spellEnd"/>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judicial; Existen procesos con fallos desfavorables de 2da_instancia ejecutoriada registrada en el sistema eKOGUI, sin embargo, en la columna de registro sugerido en el sistema es “no registro en contabilidad”, aun cuando en la contabilidad están registradas de forma correcta en las cuentas por pagar.</w:t>
            </w:r>
          </w:p>
        </w:tc>
        <w:tc>
          <w:tcPr>
            <w:tcW w:w="1700" w:type="dxa"/>
            <w:tcBorders>
              <w:top w:val="nil"/>
              <w:left w:val="nil"/>
              <w:bottom w:val="single" w:sz="4" w:space="0" w:color="auto"/>
              <w:right w:val="single" w:sz="4" w:space="0" w:color="auto"/>
            </w:tcBorders>
            <w:shd w:val="clear" w:color="auto" w:fill="auto"/>
            <w:vAlign w:val="center"/>
            <w:hideMark/>
          </w:tcPr>
          <w:p w14:paraId="18B85071"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Falta fortalecer el seguimiento al registro de datos en el sistema eKOGUI</w:t>
            </w:r>
          </w:p>
        </w:tc>
        <w:tc>
          <w:tcPr>
            <w:tcW w:w="1559" w:type="dxa"/>
            <w:tcBorders>
              <w:top w:val="nil"/>
              <w:left w:val="nil"/>
              <w:bottom w:val="single" w:sz="4" w:space="0" w:color="auto"/>
              <w:right w:val="single" w:sz="4" w:space="0" w:color="auto"/>
            </w:tcBorders>
            <w:shd w:val="clear" w:color="auto" w:fill="auto"/>
            <w:vAlign w:val="center"/>
            <w:hideMark/>
          </w:tcPr>
          <w:p w14:paraId="71F2B6DF"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Verificar la información registrada en el </w:t>
            </w:r>
            <w:proofErr w:type="spellStart"/>
            <w:r w:rsidRPr="001B6060">
              <w:rPr>
                <w:rFonts w:ascii="Arial" w:eastAsia="Times New Roman" w:hAnsi="Arial" w:cs="Arial"/>
                <w:sz w:val="16"/>
                <w:szCs w:val="16"/>
                <w:lang w:eastAsia="es-CO"/>
              </w:rPr>
              <w:t>sitema</w:t>
            </w:r>
            <w:proofErr w:type="spellEnd"/>
            <w:r w:rsidRPr="001B6060">
              <w:rPr>
                <w:rFonts w:ascii="Arial" w:eastAsia="Times New Roman" w:hAnsi="Arial" w:cs="Arial"/>
                <w:sz w:val="16"/>
                <w:szCs w:val="16"/>
                <w:lang w:eastAsia="es-CO"/>
              </w:rPr>
              <w:t xml:space="preserve"> Ekogui, por los apoderados en el periodo</w:t>
            </w:r>
          </w:p>
        </w:tc>
        <w:tc>
          <w:tcPr>
            <w:tcW w:w="1844" w:type="dxa"/>
            <w:tcBorders>
              <w:top w:val="nil"/>
              <w:left w:val="nil"/>
              <w:bottom w:val="single" w:sz="4" w:space="0" w:color="auto"/>
              <w:right w:val="single" w:sz="4" w:space="0" w:color="auto"/>
            </w:tcBorders>
            <w:shd w:val="clear" w:color="auto" w:fill="auto"/>
            <w:vAlign w:val="center"/>
            <w:hideMark/>
          </w:tcPr>
          <w:p w14:paraId="075E6F38" w14:textId="4E9EDAB1"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Revisar  bimestralmente de manera aleatoria la calidad de la </w:t>
            </w:r>
            <w:r w:rsidR="00CD68E6" w:rsidRPr="001B6060">
              <w:rPr>
                <w:rFonts w:ascii="Arial" w:eastAsia="Times New Roman" w:hAnsi="Arial" w:cs="Arial"/>
                <w:sz w:val="16"/>
                <w:szCs w:val="16"/>
                <w:lang w:eastAsia="es-CO"/>
              </w:rPr>
              <w:t>información</w:t>
            </w:r>
            <w:r w:rsidRPr="001B6060">
              <w:rPr>
                <w:rFonts w:ascii="Arial" w:eastAsia="Times New Roman" w:hAnsi="Arial" w:cs="Arial"/>
                <w:sz w:val="16"/>
                <w:szCs w:val="16"/>
                <w:lang w:eastAsia="es-CO"/>
              </w:rPr>
              <w:t xml:space="preserve"> registrada  en el sistema  Ekogui, por los apoderados  durante el periodo.</w:t>
            </w:r>
          </w:p>
        </w:tc>
        <w:tc>
          <w:tcPr>
            <w:tcW w:w="1011" w:type="dxa"/>
            <w:tcBorders>
              <w:top w:val="nil"/>
              <w:left w:val="nil"/>
              <w:bottom w:val="single" w:sz="4" w:space="0" w:color="auto"/>
              <w:right w:val="single" w:sz="4" w:space="0" w:color="auto"/>
            </w:tcBorders>
            <w:shd w:val="clear" w:color="auto" w:fill="auto"/>
            <w:vAlign w:val="center"/>
            <w:hideMark/>
          </w:tcPr>
          <w:p w14:paraId="4CDD6187"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Documento</w:t>
            </w:r>
          </w:p>
        </w:tc>
        <w:tc>
          <w:tcPr>
            <w:tcW w:w="1119" w:type="dxa"/>
            <w:tcBorders>
              <w:top w:val="nil"/>
              <w:left w:val="nil"/>
              <w:bottom w:val="single" w:sz="4" w:space="0" w:color="auto"/>
              <w:right w:val="single" w:sz="4" w:space="0" w:color="auto"/>
            </w:tcBorders>
            <w:shd w:val="clear" w:color="auto" w:fill="auto"/>
            <w:vAlign w:val="center"/>
            <w:hideMark/>
          </w:tcPr>
          <w:p w14:paraId="63F35BFF"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6</w:t>
            </w:r>
          </w:p>
        </w:tc>
        <w:tc>
          <w:tcPr>
            <w:tcW w:w="992" w:type="dxa"/>
            <w:tcBorders>
              <w:top w:val="nil"/>
              <w:left w:val="nil"/>
              <w:bottom w:val="single" w:sz="4" w:space="0" w:color="auto"/>
              <w:right w:val="single" w:sz="4" w:space="0" w:color="auto"/>
            </w:tcBorders>
            <w:shd w:val="clear" w:color="auto" w:fill="auto"/>
            <w:vAlign w:val="center"/>
            <w:hideMark/>
          </w:tcPr>
          <w:p w14:paraId="0A1D2B51"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2023-07-01</w:t>
            </w:r>
          </w:p>
        </w:tc>
        <w:tc>
          <w:tcPr>
            <w:tcW w:w="1134" w:type="dxa"/>
            <w:tcBorders>
              <w:top w:val="nil"/>
              <w:left w:val="nil"/>
              <w:bottom w:val="single" w:sz="4" w:space="0" w:color="auto"/>
              <w:right w:val="single" w:sz="4" w:space="0" w:color="auto"/>
            </w:tcBorders>
            <w:shd w:val="clear" w:color="auto" w:fill="auto"/>
            <w:vAlign w:val="center"/>
            <w:hideMark/>
          </w:tcPr>
          <w:p w14:paraId="1C13889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2024-06-30</w:t>
            </w:r>
          </w:p>
        </w:tc>
        <w:tc>
          <w:tcPr>
            <w:tcW w:w="1816" w:type="dxa"/>
            <w:tcBorders>
              <w:top w:val="nil"/>
              <w:left w:val="nil"/>
              <w:bottom w:val="single" w:sz="4" w:space="0" w:color="auto"/>
              <w:right w:val="single" w:sz="4" w:space="0" w:color="auto"/>
            </w:tcBorders>
            <w:shd w:val="clear" w:color="000000" w:fill="FFFFFF"/>
            <w:vAlign w:val="center"/>
            <w:hideMark/>
          </w:tcPr>
          <w:p w14:paraId="346AB06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52,14</w:t>
            </w:r>
          </w:p>
        </w:tc>
      </w:tr>
      <w:tr w:rsidR="001B6060" w:rsidRPr="001B6060" w14:paraId="578EF4B3" w14:textId="77777777" w:rsidTr="001B6060">
        <w:trPr>
          <w:trHeight w:val="238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4D4A039A"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5. Actualización Sistema Único de Gestión e Información de la actividad litigiosa del Estado “e-Kogui”.</w:t>
            </w:r>
          </w:p>
        </w:tc>
        <w:tc>
          <w:tcPr>
            <w:tcW w:w="2836" w:type="dxa"/>
            <w:tcBorders>
              <w:top w:val="nil"/>
              <w:left w:val="nil"/>
              <w:bottom w:val="single" w:sz="4" w:space="0" w:color="auto"/>
              <w:right w:val="single" w:sz="4" w:space="0" w:color="auto"/>
            </w:tcBorders>
            <w:shd w:val="clear" w:color="auto" w:fill="auto"/>
            <w:vAlign w:val="center"/>
            <w:hideMark/>
          </w:tcPr>
          <w:p w14:paraId="2B78FC3E" w14:textId="0E116872" w:rsidR="001B6060" w:rsidRPr="001B6060" w:rsidRDefault="00CD68E6"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No se</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califica riesgo en</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procesos</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judiciales cada</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6meses y</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cuando se</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 xml:space="preserve">profiere </w:t>
            </w:r>
            <w:proofErr w:type="spellStart"/>
            <w:r w:rsidRPr="001B6060">
              <w:rPr>
                <w:rFonts w:ascii="Arial" w:eastAsia="Times New Roman" w:hAnsi="Arial" w:cs="Arial"/>
                <w:sz w:val="16"/>
                <w:szCs w:val="16"/>
                <w:lang w:eastAsia="es-CO"/>
              </w:rPr>
              <w:t>sent</w:t>
            </w:r>
            <w:proofErr w:type="spellEnd"/>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judicial; Existen procesos con fallos desfavorables de 2da_instancia ejecutoriada registrada en el sistema eKOGUI, sin embargo, en la columna de registro sugerido en el sistema es “no registro en contabilidad”, aun cuando en la contabilidad están registradas de forma correcta en las cuentas por pagar.</w:t>
            </w:r>
          </w:p>
        </w:tc>
        <w:tc>
          <w:tcPr>
            <w:tcW w:w="1700" w:type="dxa"/>
            <w:tcBorders>
              <w:top w:val="nil"/>
              <w:left w:val="nil"/>
              <w:bottom w:val="single" w:sz="4" w:space="0" w:color="auto"/>
              <w:right w:val="single" w:sz="4" w:space="0" w:color="auto"/>
            </w:tcBorders>
            <w:shd w:val="clear" w:color="auto" w:fill="auto"/>
            <w:vAlign w:val="center"/>
            <w:hideMark/>
          </w:tcPr>
          <w:p w14:paraId="5B71B36F"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Falta fortalecer el seguimiento al registro de datos en el sistema eKOGUI</w:t>
            </w:r>
          </w:p>
        </w:tc>
        <w:tc>
          <w:tcPr>
            <w:tcW w:w="1559" w:type="dxa"/>
            <w:tcBorders>
              <w:top w:val="nil"/>
              <w:left w:val="nil"/>
              <w:bottom w:val="single" w:sz="4" w:space="0" w:color="auto"/>
              <w:right w:val="single" w:sz="4" w:space="0" w:color="auto"/>
            </w:tcBorders>
            <w:shd w:val="clear" w:color="auto" w:fill="auto"/>
            <w:vAlign w:val="center"/>
            <w:hideMark/>
          </w:tcPr>
          <w:p w14:paraId="33FD8C28" w14:textId="7BB396E2"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Verificar la información registrada en el </w:t>
            </w:r>
            <w:r w:rsidR="00CD68E6" w:rsidRPr="001B6060">
              <w:rPr>
                <w:rFonts w:ascii="Arial" w:eastAsia="Times New Roman" w:hAnsi="Arial" w:cs="Arial"/>
                <w:sz w:val="16"/>
                <w:szCs w:val="16"/>
                <w:lang w:eastAsia="es-CO"/>
              </w:rPr>
              <w:t>sistema</w:t>
            </w:r>
            <w:r w:rsidRPr="001B6060">
              <w:rPr>
                <w:rFonts w:ascii="Arial" w:eastAsia="Times New Roman" w:hAnsi="Arial" w:cs="Arial"/>
                <w:sz w:val="16"/>
                <w:szCs w:val="16"/>
                <w:lang w:eastAsia="es-CO"/>
              </w:rPr>
              <w:t xml:space="preserve"> Ekogui, por los apoderados en el periodo</w:t>
            </w:r>
          </w:p>
        </w:tc>
        <w:tc>
          <w:tcPr>
            <w:tcW w:w="1844" w:type="dxa"/>
            <w:tcBorders>
              <w:top w:val="nil"/>
              <w:left w:val="nil"/>
              <w:bottom w:val="single" w:sz="4" w:space="0" w:color="auto"/>
              <w:right w:val="single" w:sz="4" w:space="0" w:color="auto"/>
            </w:tcBorders>
            <w:shd w:val="clear" w:color="auto" w:fill="auto"/>
            <w:vAlign w:val="center"/>
            <w:hideMark/>
          </w:tcPr>
          <w:p w14:paraId="20F6A46A" w14:textId="0430FDA8"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Realizar visitas a los apoderados de las Seccionales y Nivel Central  que presenten mayor </w:t>
            </w:r>
            <w:r w:rsidR="00CD68E6" w:rsidRPr="001B6060">
              <w:rPr>
                <w:rFonts w:ascii="Arial" w:eastAsia="Times New Roman" w:hAnsi="Arial" w:cs="Arial"/>
                <w:sz w:val="16"/>
                <w:szCs w:val="16"/>
                <w:lang w:eastAsia="es-CO"/>
              </w:rPr>
              <w:t>dificultad</w:t>
            </w:r>
            <w:r w:rsidRPr="001B6060">
              <w:rPr>
                <w:rFonts w:ascii="Arial" w:eastAsia="Times New Roman" w:hAnsi="Arial" w:cs="Arial"/>
                <w:sz w:val="16"/>
                <w:szCs w:val="16"/>
                <w:lang w:eastAsia="es-CO"/>
              </w:rPr>
              <w:t xml:space="preserve"> para registrar  la información al Ekogui.</w:t>
            </w:r>
          </w:p>
        </w:tc>
        <w:tc>
          <w:tcPr>
            <w:tcW w:w="1011" w:type="dxa"/>
            <w:tcBorders>
              <w:top w:val="nil"/>
              <w:left w:val="nil"/>
              <w:bottom w:val="single" w:sz="4" w:space="0" w:color="auto"/>
              <w:right w:val="single" w:sz="4" w:space="0" w:color="auto"/>
            </w:tcBorders>
            <w:shd w:val="clear" w:color="auto" w:fill="auto"/>
            <w:vAlign w:val="center"/>
            <w:hideMark/>
          </w:tcPr>
          <w:p w14:paraId="310E2DBB"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Documento</w:t>
            </w:r>
          </w:p>
        </w:tc>
        <w:tc>
          <w:tcPr>
            <w:tcW w:w="1119" w:type="dxa"/>
            <w:tcBorders>
              <w:top w:val="nil"/>
              <w:left w:val="nil"/>
              <w:bottom w:val="single" w:sz="4" w:space="0" w:color="auto"/>
              <w:right w:val="single" w:sz="4" w:space="0" w:color="auto"/>
            </w:tcBorders>
            <w:shd w:val="clear" w:color="auto" w:fill="auto"/>
            <w:vAlign w:val="center"/>
            <w:hideMark/>
          </w:tcPr>
          <w:p w14:paraId="07FD33C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5</w:t>
            </w:r>
          </w:p>
        </w:tc>
        <w:tc>
          <w:tcPr>
            <w:tcW w:w="992" w:type="dxa"/>
            <w:tcBorders>
              <w:top w:val="nil"/>
              <w:left w:val="nil"/>
              <w:bottom w:val="single" w:sz="4" w:space="0" w:color="auto"/>
              <w:right w:val="single" w:sz="4" w:space="0" w:color="auto"/>
            </w:tcBorders>
            <w:shd w:val="clear" w:color="auto" w:fill="auto"/>
            <w:vAlign w:val="center"/>
            <w:hideMark/>
          </w:tcPr>
          <w:p w14:paraId="17B73E4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2023-07-01</w:t>
            </w:r>
          </w:p>
        </w:tc>
        <w:tc>
          <w:tcPr>
            <w:tcW w:w="1134" w:type="dxa"/>
            <w:tcBorders>
              <w:top w:val="nil"/>
              <w:left w:val="nil"/>
              <w:bottom w:val="single" w:sz="4" w:space="0" w:color="auto"/>
              <w:right w:val="single" w:sz="4" w:space="0" w:color="auto"/>
            </w:tcBorders>
            <w:shd w:val="clear" w:color="auto" w:fill="auto"/>
            <w:vAlign w:val="center"/>
            <w:hideMark/>
          </w:tcPr>
          <w:p w14:paraId="6BDC97A8"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2023-12-31</w:t>
            </w:r>
          </w:p>
        </w:tc>
        <w:tc>
          <w:tcPr>
            <w:tcW w:w="1816" w:type="dxa"/>
            <w:tcBorders>
              <w:top w:val="nil"/>
              <w:left w:val="nil"/>
              <w:bottom w:val="single" w:sz="4" w:space="0" w:color="auto"/>
              <w:right w:val="single" w:sz="4" w:space="0" w:color="auto"/>
            </w:tcBorders>
            <w:shd w:val="clear" w:color="000000" w:fill="FFFFFF"/>
            <w:vAlign w:val="center"/>
            <w:hideMark/>
          </w:tcPr>
          <w:p w14:paraId="08B309E3"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26,14</w:t>
            </w:r>
          </w:p>
        </w:tc>
      </w:tr>
      <w:tr w:rsidR="001B6060" w:rsidRPr="001B6060" w14:paraId="4AAD55BF" w14:textId="77777777" w:rsidTr="001B6060">
        <w:trPr>
          <w:trHeight w:val="238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24E4973"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5. Actualización Sistema Único de Gestión e Información de la actividad litigiosa del Estado “e-Kogui”.</w:t>
            </w:r>
          </w:p>
        </w:tc>
        <w:tc>
          <w:tcPr>
            <w:tcW w:w="2836" w:type="dxa"/>
            <w:tcBorders>
              <w:top w:val="nil"/>
              <w:left w:val="nil"/>
              <w:bottom w:val="single" w:sz="4" w:space="0" w:color="auto"/>
              <w:right w:val="single" w:sz="4" w:space="0" w:color="auto"/>
            </w:tcBorders>
            <w:shd w:val="clear" w:color="auto" w:fill="auto"/>
            <w:vAlign w:val="center"/>
            <w:hideMark/>
          </w:tcPr>
          <w:p w14:paraId="30649320" w14:textId="61174A7C" w:rsidR="001B6060" w:rsidRPr="001B6060" w:rsidRDefault="00CD68E6"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No se</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califica riesgo en</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procesos</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judiciales cada</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6meses y</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cuando se</w:t>
            </w:r>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 xml:space="preserve">profiere </w:t>
            </w:r>
            <w:proofErr w:type="spellStart"/>
            <w:r w:rsidRPr="001B6060">
              <w:rPr>
                <w:rFonts w:ascii="Arial" w:eastAsia="Times New Roman" w:hAnsi="Arial" w:cs="Arial"/>
                <w:sz w:val="16"/>
                <w:szCs w:val="16"/>
                <w:lang w:eastAsia="es-CO"/>
              </w:rPr>
              <w:t>sent</w:t>
            </w:r>
            <w:proofErr w:type="spellEnd"/>
            <w:r>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judicial; Existen procesos con fallos desfavorables de 2da_instancia ejecutoriada registrada en el sistema eKOGUI, sin embargo, en la columna de registro sugerido en el sistema es “no registro en contabilidad”, aun cuando en la contabilidad están registradas de forma correcta en las cuentas por pagar.</w:t>
            </w:r>
          </w:p>
        </w:tc>
        <w:tc>
          <w:tcPr>
            <w:tcW w:w="1700" w:type="dxa"/>
            <w:tcBorders>
              <w:top w:val="nil"/>
              <w:left w:val="nil"/>
              <w:bottom w:val="single" w:sz="4" w:space="0" w:color="auto"/>
              <w:right w:val="single" w:sz="4" w:space="0" w:color="auto"/>
            </w:tcBorders>
            <w:shd w:val="clear" w:color="auto" w:fill="auto"/>
            <w:vAlign w:val="center"/>
            <w:hideMark/>
          </w:tcPr>
          <w:p w14:paraId="1D6CFE01"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Falta fortalecer el seguimiento al registro de datos en el sistema eKOGUI</w:t>
            </w:r>
          </w:p>
        </w:tc>
        <w:tc>
          <w:tcPr>
            <w:tcW w:w="1559" w:type="dxa"/>
            <w:tcBorders>
              <w:top w:val="nil"/>
              <w:left w:val="nil"/>
              <w:bottom w:val="single" w:sz="4" w:space="0" w:color="auto"/>
              <w:right w:val="single" w:sz="4" w:space="0" w:color="auto"/>
            </w:tcBorders>
            <w:shd w:val="clear" w:color="auto" w:fill="auto"/>
            <w:vAlign w:val="center"/>
            <w:hideMark/>
          </w:tcPr>
          <w:p w14:paraId="79593BDC" w14:textId="0C3FD736" w:rsidR="001B6060" w:rsidRPr="001B6060" w:rsidRDefault="00CD68E6"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Concientizar a</w:t>
            </w:r>
            <w:r w:rsidR="001B6060" w:rsidRPr="001B6060">
              <w:rPr>
                <w:rFonts w:ascii="Arial" w:eastAsia="Times New Roman" w:hAnsi="Arial" w:cs="Arial"/>
                <w:sz w:val="16"/>
                <w:szCs w:val="16"/>
                <w:lang w:eastAsia="es-CO"/>
              </w:rPr>
              <w:t xml:space="preserve"> los apoderados sobre el cumplimiento de la norma, frente a los registros que se deben actualizar en Ekogui</w:t>
            </w:r>
          </w:p>
        </w:tc>
        <w:tc>
          <w:tcPr>
            <w:tcW w:w="1844" w:type="dxa"/>
            <w:tcBorders>
              <w:top w:val="nil"/>
              <w:left w:val="nil"/>
              <w:bottom w:val="single" w:sz="4" w:space="0" w:color="auto"/>
              <w:right w:val="single" w:sz="4" w:space="0" w:color="auto"/>
            </w:tcBorders>
            <w:shd w:val="clear" w:color="000000" w:fill="FFFFFF"/>
            <w:vAlign w:val="center"/>
            <w:hideMark/>
          </w:tcPr>
          <w:p w14:paraId="6F5A5C68" w14:textId="3280C289" w:rsidR="001B6060" w:rsidRPr="001B6060" w:rsidRDefault="00CD68E6"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Sensibilizar</w:t>
            </w:r>
            <w:r w:rsidR="001B6060" w:rsidRPr="001B6060">
              <w:rPr>
                <w:rFonts w:ascii="Arial" w:eastAsia="Times New Roman" w:hAnsi="Arial" w:cs="Arial"/>
                <w:sz w:val="16"/>
                <w:szCs w:val="16"/>
                <w:lang w:eastAsia="es-CO"/>
              </w:rPr>
              <w:t xml:space="preserve"> a los apoderados sobre el cumplimiento de la norma.</w:t>
            </w:r>
          </w:p>
        </w:tc>
        <w:tc>
          <w:tcPr>
            <w:tcW w:w="1011" w:type="dxa"/>
            <w:tcBorders>
              <w:top w:val="nil"/>
              <w:left w:val="nil"/>
              <w:bottom w:val="single" w:sz="4" w:space="0" w:color="auto"/>
              <w:right w:val="single" w:sz="4" w:space="0" w:color="auto"/>
            </w:tcBorders>
            <w:shd w:val="clear" w:color="auto" w:fill="auto"/>
            <w:vAlign w:val="center"/>
            <w:hideMark/>
          </w:tcPr>
          <w:p w14:paraId="7897FAC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Documento</w:t>
            </w:r>
          </w:p>
        </w:tc>
        <w:tc>
          <w:tcPr>
            <w:tcW w:w="1119" w:type="dxa"/>
            <w:tcBorders>
              <w:top w:val="nil"/>
              <w:left w:val="nil"/>
              <w:bottom w:val="single" w:sz="4" w:space="0" w:color="auto"/>
              <w:right w:val="single" w:sz="4" w:space="0" w:color="auto"/>
            </w:tcBorders>
            <w:shd w:val="clear" w:color="auto" w:fill="auto"/>
            <w:vAlign w:val="center"/>
            <w:hideMark/>
          </w:tcPr>
          <w:p w14:paraId="797CFEB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w:t>
            </w:r>
          </w:p>
        </w:tc>
        <w:tc>
          <w:tcPr>
            <w:tcW w:w="992" w:type="dxa"/>
            <w:tcBorders>
              <w:top w:val="nil"/>
              <w:left w:val="nil"/>
              <w:bottom w:val="single" w:sz="4" w:space="0" w:color="auto"/>
              <w:right w:val="single" w:sz="4" w:space="0" w:color="auto"/>
            </w:tcBorders>
            <w:shd w:val="clear" w:color="auto" w:fill="auto"/>
            <w:vAlign w:val="center"/>
            <w:hideMark/>
          </w:tcPr>
          <w:p w14:paraId="4B44522D"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2023-07-01</w:t>
            </w:r>
          </w:p>
        </w:tc>
        <w:tc>
          <w:tcPr>
            <w:tcW w:w="1134" w:type="dxa"/>
            <w:tcBorders>
              <w:top w:val="nil"/>
              <w:left w:val="nil"/>
              <w:bottom w:val="single" w:sz="4" w:space="0" w:color="auto"/>
              <w:right w:val="single" w:sz="4" w:space="0" w:color="auto"/>
            </w:tcBorders>
            <w:shd w:val="clear" w:color="auto" w:fill="auto"/>
            <w:vAlign w:val="center"/>
            <w:hideMark/>
          </w:tcPr>
          <w:p w14:paraId="17115BE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2023-12-31</w:t>
            </w:r>
          </w:p>
        </w:tc>
        <w:tc>
          <w:tcPr>
            <w:tcW w:w="1816" w:type="dxa"/>
            <w:tcBorders>
              <w:top w:val="nil"/>
              <w:left w:val="nil"/>
              <w:bottom w:val="single" w:sz="4" w:space="0" w:color="auto"/>
              <w:right w:val="single" w:sz="4" w:space="0" w:color="auto"/>
            </w:tcBorders>
            <w:shd w:val="clear" w:color="000000" w:fill="FFFFFF"/>
            <w:vAlign w:val="center"/>
            <w:hideMark/>
          </w:tcPr>
          <w:p w14:paraId="0FFF27F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26,14</w:t>
            </w:r>
          </w:p>
        </w:tc>
      </w:tr>
      <w:tr w:rsidR="001B6060" w:rsidRPr="001B6060" w14:paraId="77549C04" w14:textId="77777777" w:rsidTr="001B6060">
        <w:trPr>
          <w:trHeight w:val="238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6BF5581"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H.  6. Elementos en Bodega por reasignar.</w:t>
            </w:r>
          </w:p>
        </w:tc>
        <w:tc>
          <w:tcPr>
            <w:tcW w:w="2836" w:type="dxa"/>
            <w:tcBorders>
              <w:top w:val="nil"/>
              <w:left w:val="nil"/>
              <w:bottom w:val="single" w:sz="4" w:space="0" w:color="auto"/>
              <w:right w:val="single" w:sz="4" w:space="0" w:color="auto"/>
            </w:tcBorders>
            <w:shd w:val="clear" w:color="auto" w:fill="auto"/>
            <w:vAlign w:val="center"/>
            <w:hideMark/>
          </w:tcPr>
          <w:p w14:paraId="25401CE4"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Revisados los elementos en “bodega por reasignar” se determinó que en el almacén están 1.188 bienes por $2.190.882.757 desde el año 2015 a 2022, de los cuales en la cuenta contable de PPE No Explotados, se contabilizan 108 ítems por $1.409.062.494 a 31-12-2022, que tienen equipos de comunicación y computación por $509.348.894 y equipos de transporte por $759.745.370 COP</w:t>
            </w:r>
          </w:p>
        </w:tc>
        <w:tc>
          <w:tcPr>
            <w:tcW w:w="1700" w:type="dxa"/>
            <w:tcBorders>
              <w:top w:val="nil"/>
              <w:left w:val="nil"/>
              <w:bottom w:val="single" w:sz="4" w:space="0" w:color="auto"/>
              <w:right w:val="single" w:sz="4" w:space="0" w:color="auto"/>
            </w:tcBorders>
            <w:shd w:val="clear" w:color="auto" w:fill="auto"/>
            <w:vAlign w:val="center"/>
            <w:hideMark/>
          </w:tcPr>
          <w:p w14:paraId="27A12761"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Deficiencia en el control interno financiero.</w:t>
            </w:r>
          </w:p>
        </w:tc>
        <w:tc>
          <w:tcPr>
            <w:tcW w:w="1559" w:type="dxa"/>
            <w:tcBorders>
              <w:top w:val="nil"/>
              <w:left w:val="nil"/>
              <w:bottom w:val="single" w:sz="4" w:space="0" w:color="auto"/>
              <w:right w:val="single" w:sz="4" w:space="0" w:color="auto"/>
            </w:tcBorders>
            <w:shd w:val="clear" w:color="auto" w:fill="auto"/>
            <w:vAlign w:val="center"/>
            <w:hideMark/>
          </w:tcPr>
          <w:p w14:paraId="6C7071D4" w14:textId="1741EABE"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Verificar físicamente los bienes registrados en </w:t>
            </w:r>
            <w:r w:rsidR="00CD68E6" w:rsidRPr="001B6060">
              <w:rPr>
                <w:rFonts w:ascii="Arial" w:eastAsia="Times New Roman" w:hAnsi="Arial" w:cs="Arial"/>
                <w:sz w:val="16"/>
                <w:szCs w:val="16"/>
                <w:lang w:eastAsia="es-CO"/>
              </w:rPr>
              <w:t>las bodegas patrimoniales</w:t>
            </w:r>
          </w:p>
        </w:tc>
        <w:tc>
          <w:tcPr>
            <w:tcW w:w="1844" w:type="dxa"/>
            <w:tcBorders>
              <w:top w:val="nil"/>
              <w:left w:val="nil"/>
              <w:bottom w:val="single" w:sz="4" w:space="0" w:color="auto"/>
              <w:right w:val="single" w:sz="4" w:space="0" w:color="auto"/>
            </w:tcBorders>
            <w:shd w:val="clear" w:color="auto" w:fill="auto"/>
            <w:vAlign w:val="center"/>
            <w:hideMark/>
          </w:tcPr>
          <w:p w14:paraId="30CBB7B2"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Realizar inventario físico de los bienes registrados en las bodegas patrimoniales y conciliación con los respectivos saldos en SIAF, con saldos a 31 de julio de 2023</w:t>
            </w:r>
          </w:p>
        </w:tc>
        <w:tc>
          <w:tcPr>
            <w:tcW w:w="1011" w:type="dxa"/>
            <w:tcBorders>
              <w:top w:val="nil"/>
              <w:left w:val="nil"/>
              <w:bottom w:val="single" w:sz="4" w:space="0" w:color="auto"/>
              <w:right w:val="single" w:sz="4" w:space="0" w:color="auto"/>
            </w:tcBorders>
            <w:shd w:val="clear" w:color="auto" w:fill="auto"/>
            <w:vAlign w:val="center"/>
            <w:hideMark/>
          </w:tcPr>
          <w:p w14:paraId="1252EDE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Informe</w:t>
            </w:r>
          </w:p>
        </w:tc>
        <w:tc>
          <w:tcPr>
            <w:tcW w:w="1119" w:type="dxa"/>
            <w:tcBorders>
              <w:top w:val="nil"/>
              <w:left w:val="nil"/>
              <w:bottom w:val="single" w:sz="4" w:space="0" w:color="auto"/>
              <w:right w:val="single" w:sz="4" w:space="0" w:color="auto"/>
            </w:tcBorders>
            <w:shd w:val="clear" w:color="auto" w:fill="auto"/>
            <w:vAlign w:val="center"/>
            <w:hideMark/>
          </w:tcPr>
          <w:p w14:paraId="127C656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494B98C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7431F5F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2023-12-31</w:t>
            </w:r>
          </w:p>
        </w:tc>
        <w:tc>
          <w:tcPr>
            <w:tcW w:w="1816" w:type="dxa"/>
            <w:tcBorders>
              <w:top w:val="nil"/>
              <w:left w:val="nil"/>
              <w:bottom w:val="single" w:sz="4" w:space="0" w:color="auto"/>
              <w:right w:val="single" w:sz="4" w:space="0" w:color="auto"/>
            </w:tcBorders>
            <w:shd w:val="clear" w:color="000000" w:fill="FFFFFF"/>
            <w:vAlign w:val="center"/>
            <w:hideMark/>
          </w:tcPr>
          <w:p w14:paraId="3BB70557"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21,71</w:t>
            </w:r>
          </w:p>
        </w:tc>
      </w:tr>
      <w:tr w:rsidR="001B6060" w:rsidRPr="001B6060" w14:paraId="7AB3789A" w14:textId="77777777" w:rsidTr="001B6060">
        <w:trPr>
          <w:trHeight w:val="256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3F23540"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6. Elementos en Bodega por reasignar.</w:t>
            </w:r>
          </w:p>
        </w:tc>
        <w:tc>
          <w:tcPr>
            <w:tcW w:w="2836" w:type="dxa"/>
            <w:tcBorders>
              <w:top w:val="nil"/>
              <w:left w:val="nil"/>
              <w:bottom w:val="single" w:sz="4" w:space="0" w:color="auto"/>
              <w:right w:val="single" w:sz="4" w:space="0" w:color="auto"/>
            </w:tcBorders>
            <w:shd w:val="clear" w:color="auto" w:fill="auto"/>
            <w:vAlign w:val="center"/>
            <w:hideMark/>
          </w:tcPr>
          <w:p w14:paraId="7DF18C06"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Revisados los elementos en “bodega por reasignar” se determinó que en el almacén están 1.188 bienes por $2.190.882.757 desde el año 2015 a 2022, de los cuales en la cuenta contable de PPE No Explotados, se contabilizan 108 ítems por $1.409.062.494 a 31-12-2022, que tienen equipos de comunicación y computación por $509.348.894 y equipos de transporte por $759.745.370 COP</w:t>
            </w:r>
          </w:p>
        </w:tc>
        <w:tc>
          <w:tcPr>
            <w:tcW w:w="1700" w:type="dxa"/>
            <w:tcBorders>
              <w:top w:val="nil"/>
              <w:left w:val="nil"/>
              <w:bottom w:val="single" w:sz="4" w:space="0" w:color="auto"/>
              <w:right w:val="single" w:sz="4" w:space="0" w:color="auto"/>
            </w:tcBorders>
            <w:shd w:val="clear" w:color="auto" w:fill="auto"/>
            <w:vAlign w:val="center"/>
            <w:hideMark/>
          </w:tcPr>
          <w:p w14:paraId="3695AFBA"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Deficiencia en el control interno financiero.</w:t>
            </w:r>
          </w:p>
        </w:tc>
        <w:tc>
          <w:tcPr>
            <w:tcW w:w="1559" w:type="dxa"/>
            <w:tcBorders>
              <w:top w:val="nil"/>
              <w:left w:val="nil"/>
              <w:bottom w:val="single" w:sz="4" w:space="0" w:color="auto"/>
              <w:right w:val="single" w:sz="4" w:space="0" w:color="auto"/>
            </w:tcBorders>
            <w:shd w:val="clear" w:color="auto" w:fill="auto"/>
            <w:vAlign w:val="center"/>
            <w:hideMark/>
          </w:tcPr>
          <w:p w14:paraId="27833BA1" w14:textId="42B74E31"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Verificar físicamente los bienes registrados en </w:t>
            </w:r>
            <w:r w:rsidR="00CD68E6" w:rsidRPr="001B6060">
              <w:rPr>
                <w:rFonts w:ascii="Arial" w:eastAsia="Times New Roman" w:hAnsi="Arial" w:cs="Arial"/>
                <w:sz w:val="16"/>
                <w:szCs w:val="16"/>
                <w:lang w:eastAsia="es-CO"/>
              </w:rPr>
              <w:t>las bodegas patrimoniales</w:t>
            </w:r>
          </w:p>
        </w:tc>
        <w:tc>
          <w:tcPr>
            <w:tcW w:w="1844" w:type="dxa"/>
            <w:tcBorders>
              <w:top w:val="nil"/>
              <w:left w:val="nil"/>
              <w:bottom w:val="single" w:sz="4" w:space="0" w:color="auto"/>
              <w:right w:val="single" w:sz="4" w:space="0" w:color="auto"/>
            </w:tcBorders>
            <w:shd w:val="clear" w:color="auto" w:fill="auto"/>
            <w:vAlign w:val="center"/>
            <w:hideMark/>
          </w:tcPr>
          <w:p w14:paraId="709346C8" w14:textId="567D7031"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br/>
              <w:t xml:space="preserve">Realizar la identificación de los bienes que hacen parte de propiedad planta y equipo y la reclasificación de </w:t>
            </w:r>
            <w:r w:rsidR="00CD68E6" w:rsidRPr="001B6060">
              <w:rPr>
                <w:rFonts w:ascii="Arial" w:eastAsia="Times New Roman" w:hAnsi="Arial" w:cs="Arial"/>
                <w:sz w:val="16"/>
                <w:szCs w:val="16"/>
                <w:lang w:eastAsia="es-CO"/>
              </w:rPr>
              <w:t>bodega y</w:t>
            </w:r>
            <w:r w:rsidRPr="001B6060">
              <w:rPr>
                <w:rFonts w:ascii="Arial" w:eastAsia="Times New Roman" w:hAnsi="Arial" w:cs="Arial"/>
                <w:sz w:val="16"/>
                <w:szCs w:val="16"/>
                <w:lang w:eastAsia="es-CO"/>
              </w:rPr>
              <w:t xml:space="preserve"> proceso de baja según los conceptos técnicos</w:t>
            </w:r>
          </w:p>
        </w:tc>
        <w:tc>
          <w:tcPr>
            <w:tcW w:w="1011" w:type="dxa"/>
            <w:tcBorders>
              <w:top w:val="nil"/>
              <w:left w:val="nil"/>
              <w:bottom w:val="single" w:sz="4" w:space="0" w:color="auto"/>
              <w:right w:val="single" w:sz="4" w:space="0" w:color="auto"/>
            </w:tcBorders>
            <w:shd w:val="clear" w:color="auto" w:fill="auto"/>
            <w:vAlign w:val="center"/>
            <w:hideMark/>
          </w:tcPr>
          <w:p w14:paraId="5D0F68C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Informe</w:t>
            </w:r>
          </w:p>
        </w:tc>
        <w:tc>
          <w:tcPr>
            <w:tcW w:w="1119" w:type="dxa"/>
            <w:tcBorders>
              <w:top w:val="nil"/>
              <w:left w:val="nil"/>
              <w:bottom w:val="single" w:sz="4" w:space="0" w:color="auto"/>
              <w:right w:val="single" w:sz="4" w:space="0" w:color="auto"/>
            </w:tcBorders>
            <w:shd w:val="clear" w:color="auto" w:fill="auto"/>
            <w:vAlign w:val="center"/>
            <w:hideMark/>
          </w:tcPr>
          <w:p w14:paraId="3334944F"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032A5CA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0B30AD1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2023-12-31</w:t>
            </w:r>
          </w:p>
        </w:tc>
        <w:tc>
          <w:tcPr>
            <w:tcW w:w="1816" w:type="dxa"/>
            <w:tcBorders>
              <w:top w:val="nil"/>
              <w:left w:val="nil"/>
              <w:bottom w:val="single" w:sz="4" w:space="0" w:color="auto"/>
              <w:right w:val="single" w:sz="4" w:space="0" w:color="auto"/>
            </w:tcBorders>
            <w:shd w:val="clear" w:color="000000" w:fill="FFFFFF"/>
            <w:vAlign w:val="center"/>
            <w:hideMark/>
          </w:tcPr>
          <w:p w14:paraId="656BFC1B"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21,71</w:t>
            </w:r>
          </w:p>
        </w:tc>
      </w:tr>
      <w:tr w:rsidR="001B6060" w:rsidRPr="001B6060" w14:paraId="5535D5C8" w14:textId="77777777" w:rsidTr="001B6060">
        <w:trPr>
          <w:trHeight w:val="2265"/>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226B6F0"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7. Elementos en Bodega de Nuevos - Plantas Eléctricas .(BA)</w:t>
            </w:r>
          </w:p>
        </w:tc>
        <w:tc>
          <w:tcPr>
            <w:tcW w:w="2836" w:type="dxa"/>
            <w:tcBorders>
              <w:top w:val="nil"/>
              <w:left w:val="nil"/>
              <w:bottom w:val="single" w:sz="4" w:space="0" w:color="auto"/>
              <w:right w:val="single" w:sz="4" w:space="0" w:color="auto"/>
            </w:tcBorders>
            <w:shd w:val="clear" w:color="auto" w:fill="auto"/>
            <w:vAlign w:val="center"/>
            <w:hideMark/>
          </w:tcPr>
          <w:p w14:paraId="3244ECEE"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En visita de inspección al Almacén en Villavicencio, el día 09-03-2023, se evidenció la existencia de siete (7) Plantas Eléctricas de 7KVA Diesel, por valor total de $34.125.000 COP, ingresadas a la “bodega de nuevos” el 20-09-2021 y que a la fecha de la visita no se habían asignado para su uso de acuerdo con la necesidad justificada en los soportes contractuales.</w:t>
            </w:r>
          </w:p>
        </w:tc>
        <w:tc>
          <w:tcPr>
            <w:tcW w:w="1700" w:type="dxa"/>
            <w:tcBorders>
              <w:top w:val="nil"/>
              <w:left w:val="nil"/>
              <w:bottom w:val="single" w:sz="4" w:space="0" w:color="auto"/>
              <w:right w:val="single" w:sz="4" w:space="0" w:color="auto"/>
            </w:tcBorders>
            <w:shd w:val="clear" w:color="auto" w:fill="auto"/>
            <w:vAlign w:val="center"/>
            <w:hideMark/>
          </w:tcPr>
          <w:p w14:paraId="194234D7"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Deficiencia en el control interno financiero.</w:t>
            </w:r>
          </w:p>
        </w:tc>
        <w:tc>
          <w:tcPr>
            <w:tcW w:w="1559" w:type="dxa"/>
            <w:tcBorders>
              <w:top w:val="nil"/>
              <w:left w:val="nil"/>
              <w:bottom w:val="single" w:sz="4" w:space="0" w:color="auto"/>
              <w:right w:val="single" w:sz="4" w:space="0" w:color="auto"/>
            </w:tcBorders>
            <w:shd w:val="clear" w:color="auto" w:fill="auto"/>
            <w:vAlign w:val="center"/>
            <w:hideMark/>
          </w:tcPr>
          <w:p w14:paraId="1BF1CF6F" w14:textId="42153B72"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Verificar físicamente los bienes registrados en </w:t>
            </w:r>
            <w:r w:rsidR="00CD68E6" w:rsidRPr="001B6060">
              <w:rPr>
                <w:rFonts w:ascii="Arial" w:eastAsia="Times New Roman" w:hAnsi="Arial" w:cs="Arial"/>
                <w:sz w:val="16"/>
                <w:szCs w:val="16"/>
                <w:lang w:eastAsia="es-CO"/>
              </w:rPr>
              <w:t>las bodegas patrimoniales</w:t>
            </w:r>
          </w:p>
        </w:tc>
        <w:tc>
          <w:tcPr>
            <w:tcW w:w="1844" w:type="dxa"/>
            <w:tcBorders>
              <w:top w:val="nil"/>
              <w:left w:val="nil"/>
              <w:bottom w:val="single" w:sz="4" w:space="0" w:color="auto"/>
              <w:right w:val="single" w:sz="4" w:space="0" w:color="auto"/>
            </w:tcBorders>
            <w:shd w:val="clear" w:color="auto" w:fill="auto"/>
            <w:vAlign w:val="center"/>
            <w:hideMark/>
          </w:tcPr>
          <w:p w14:paraId="26AF9910"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Realizar la identificación de los bienes de control administrativo y la reclasificación y proceso de </w:t>
            </w:r>
            <w:proofErr w:type="spellStart"/>
            <w:r w:rsidRPr="001B6060">
              <w:rPr>
                <w:rFonts w:ascii="Arial" w:eastAsia="Times New Roman" w:hAnsi="Arial" w:cs="Arial"/>
                <w:sz w:val="16"/>
                <w:szCs w:val="16"/>
                <w:lang w:eastAsia="es-CO"/>
              </w:rPr>
              <w:t>de</w:t>
            </w:r>
            <w:proofErr w:type="spellEnd"/>
            <w:r w:rsidRPr="001B6060">
              <w:rPr>
                <w:rFonts w:ascii="Arial" w:eastAsia="Times New Roman" w:hAnsi="Arial" w:cs="Arial"/>
                <w:sz w:val="16"/>
                <w:szCs w:val="16"/>
                <w:lang w:eastAsia="es-CO"/>
              </w:rPr>
              <w:t xml:space="preserve"> bodega según los conceptos </w:t>
            </w:r>
          </w:p>
        </w:tc>
        <w:tc>
          <w:tcPr>
            <w:tcW w:w="1011" w:type="dxa"/>
            <w:tcBorders>
              <w:top w:val="nil"/>
              <w:left w:val="nil"/>
              <w:bottom w:val="single" w:sz="4" w:space="0" w:color="auto"/>
              <w:right w:val="single" w:sz="4" w:space="0" w:color="auto"/>
            </w:tcBorders>
            <w:shd w:val="clear" w:color="auto" w:fill="auto"/>
            <w:vAlign w:val="center"/>
            <w:hideMark/>
          </w:tcPr>
          <w:p w14:paraId="398FB61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Informe</w:t>
            </w:r>
          </w:p>
        </w:tc>
        <w:tc>
          <w:tcPr>
            <w:tcW w:w="1119" w:type="dxa"/>
            <w:tcBorders>
              <w:top w:val="nil"/>
              <w:left w:val="nil"/>
              <w:bottom w:val="single" w:sz="4" w:space="0" w:color="auto"/>
              <w:right w:val="single" w:sz="4" w:space="0" w:color="auto"/>
            </w:tcBorders>
            <w:shd w:val="clear" w:color="auto" w:fill="auto"/>
            <w:vAlign w:val="center"/>
            <w:hideMark/>
          </w:tcPr>
          <w:p w14:paraId="5949111B"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63220B9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2C24082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2023-12-31</w:t>
            </w:r>
          </w:p>
        </w:tc>
        <w:tc>
          <w:tcPr>
            <w:tcW w:w="1816" w:type="dxa"/>
            <w:tcBorders>
              <w:top w:val="nil"/>
              <w:left w:val="nil"/>
              <w:bottom w:val="single" w:sz="4" w:space="0" w:color="auto"/>
              <w:right w:val="single" w:sz="4" w:space="0" w:color="auto"/>
            </w:tcBorders>
            <w:shd w:val="clear" w:color="000000" w:fill="FFFFFF"/>
            <w:vAlign w:val="center"/>
            <w:hideMark/>
          </w:tcPr>
          <w:p w14:paraId="7D58DD7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21,71</w:t>
            </w:r>
          </w:p>
        </w:tc>
      </w:tr>
      <w:tr w:rsidR="001B6060" w:rsidRPr="001B6060" w14:paraId="4E448FF7" w14:textId="77777777" w:rsidTr="001B6060">
        <w:trPr>
          <w:trHeight w:val="210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D573DB0"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7. Elementos en Bodega de Nuevos - Plantas Eléctricas .(BA)</w:t>
            </w:r>
          </w:p>
        </w:tc>
        <w:tc>
          <w:tcPr>
            <w:tcW w:w="2836" w:type="dxa"/>
            <w:tcBorders>
              <w:top w:val="nil"/>
              <w:left w:val="nil"/>
              <w:bottom w:val="single" w:sz="4" w:space="0" w:color="auto"/>
              <w:right w:val="single" w:sz="4" w:space="0" w:color="auto"/>
            </w:tcBorders>
            <w:shd w:val="clear" w:color="auto" w:fill="auto"/>
            <w:vAlign w:val="center"/>
            <w:hideMark/>
          </w:tcPr>
          <w:p w14:paraId="66E64F38"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En visita de inspección al Almacén en Villavicencio, el día 09-03-2023, se evidenció la existencia de siete (7) Plantas Eléctricas de 7KVA Diesel, por valor total de $34.125.000 COP, ingresadas a la “bodega de nuevos” el 20-09-2021 y que a la fecha de la visita no se habían asignado para su uso de acuerdo con la necesidad justificada en los soportes contractuales.</w:t>
            </w:r>
          </w:p>
        </w:tc>
        <w:tc>
          <w:tcPr>
            <w:tcW w:w="1700" w:type="dxa"/>
            <w:tcBorders>
              <w:top w:val="nil"/>
              <w:left w:val="nil"/>
              <w:bottom w:val="single" w:sz="4" w:space="0" w:color="auto"/>
              <w:right w:val="single" w:sz="4" w:space="0" w:color="auto"/>
            </w:tcBorders>
            <w:shd w:val="clear" w:color="auto" w:fill="auto"/>
            <w:vAlign w:val="center"/>
            <w:hideMark/>
          </w:tcPr>
          <w:p w14:paraId="2C79FFB8"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Deficiencia en el control interno financiero.</w:t>
            </w:r>
          </w:p>
        </w:tc>
        <w:tc>
          <w:tcPr>
            <w:tcW w:w="1559" w:type="dxa"/>
            <w:tcBorders>
              <w:top w:val="nil"/>
              <w:left w:val="nil"/>
              <w:bottom w:val="single" w:sz="4" w:space="0" w:color="auto"/>
              <w:right w:val="single" w:sz="4" w:space="0" w:color="auto"/>
            </w:tcBorders>
            <w:shd w:val="clear" w:color="auto" w:fill="auto"/>
            <w:vAlign w:val="center"/>
            <w:hideMark/>
          </w:tcPr>
          <w:p w14:paraId="5F5410A8"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Analizar desde el punto de vista financiero la rotación de las bodegas</w:t>
            </w:r>
          </w:p>
        </w:tc>
        <w:tc>
          <w:tcPr>
            <w:tcW w:w="1844" w:type="dxa"/>
            <w:tcBorders>
              <w:top w:val="nil"/>
              <w:left w:val="nil"/>
              <w:bottom w:val="single" w:sz="4" w:space="0" w:color="auto"/>
              <w:right w:val="single" w:sz="4" w:space="0" w:color="auto"/>
            </w:tcBorders>
            <w:shd w:val="clear" w:color="auto" w:fill="auto"/>
            <w:vAlign w:val="center"/>
            <w:hideMark/>
          </w:tcPr>
          <w:p w14:paraId="370FDC91"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br/>
              <w:t>Retroalimentación bimensual según análisis contable de la dinámica presentada los registros en bodega por parte de almacén</w:t>
            </w:r>
          </w:p>
        </w:tc>
        <w:tc>
          <w:tcPr>
            <w:tcW w:w="1011" w:type="dxa"/>
            <w:tcBorders>
              <w:top w:val="nil"/>
              <w:left w:val="nil"/>
              <w:bottom w:val="single" w:sz="4" w:space="0" w:color="auto"/>
              <w:right w:val="single" w:sz="4" w:space="0" w:color="auto"/>
            </w:tcBorders>
            <w:shd w:val="clear" w:color="auto" w:fill="auto"/>
            <w:vAlign w:val="center"/>
            <w:hideMark/>
          </w:tcPr>
          <w:p w14:paraId="768D70D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acta </w:t>
            </w:r>
          </w:p>
        </w:tc>
        <w:tc>
          <w:tcPr>
            <w:tcW w:w="1119" w:type="dxa"/>
            <w:tcBorders>
              <w:top w:val="nil"/>
              <w:left w:val="nil"/>
              <w:bottom w:val="single" w:sz="4" w:space="0" w:color="auto"/>
              <w:right w:val="single" w:sz="4" w:space="0" w:color="auto"/>
            </w:tcBorders>
            <w:shd w:val="clear" w:color="auto" w:fill="auto"/>
            <w:vAlign w:val="center"/>
            <w:hideMark/>
          </w:tcPr>
          <w:p w14:paraId="2B2F54A8"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3</w:t>
            </w:r>
          </w:p>
        </w:tc>
        <w:tc>
          <w:tcPr>
            <w:tcW w:w="992" w:type="dxa"/>
            <w:tcBorders>
              <w:top w:val="nil"/>
              <w:left w:val="nil"/>
              <w:bottom w:val="single" w:sz="4" w:space="0" w:color="auto"/>
              <w:right w:val="single" w:sz="4" w:space="0" w:color="auto"/>
            </w:tcBorders>
            <w:shd w:val="clear" w:color="auto" w:fill="auto"/>
            <w:vAlign w:val="center"/>
            <w:hideMark/>
          </w:tcPr>
          <w:p w14:paraId="51CF7571"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1ED943A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2024-01-31</w:t>
            </w:r>
          </w:p>
        </w:tc>
        <w:tc>
          <w:tcPr>
            <w:tcW w:w="1816" w:type="dxa"/>
            <w:tcBorders>
              <w:top w:val="nil"/>
              <w:left w:val="nil"/>
              <w:bottom w:val="single" w:sz="4" w:space="0" w:color="auto"/>
              <w:right w:val="single" w:sz="4" w:space="0" w:color="auto"/>
            </w:tcBorders>
            <w:shd w:val="clear" w:color="000000" w:fill="FFFFFF"/>
            <w:vAlign w:val="center"/>
            <w:hideMark/>
          </w:tcPr>
          <w:p w14:paraId="1005EC3D"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26,14</w:t>
            </w:r>
          </w:p>
        </w:tc>
      </w:tr>
      <w:tr w:rsidR="001B6060" w:rsidRPr="001B6060" w14:paraId="4C991625" w14:textId="77777777" w:rsidTr="001B6060">
        <w:trPr>
          <w:trHeight w:val="231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3753CC39" w14:textId="45D3485C"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 xml:space="preserve">H.  7. Elementos en Bodega de Nuevos - Plantas </w:t>
            </w:r>
            <w:r w:rsidR="0000184D" w:rsidRPr="001B6060">
              <w:rPr>
                <w:rFonts w:ascii="Arial" w:eastAsia="Times New Roman" w:hAnsi="Arial" w:cs="Arial"/>
                <w:sz w:val="16"/>
                <w:szCs w:val="16"/>
                <w:lang w:eastAsia="es-CO"/>
              </w:rPr>
              <w:t>Eléctricas.</w:t>
            </w:r>
            <w:r w:rsidR="0000184D">
              <w:rPr>
                <w:rFonts w:ascii="Arial" w:eastAsia="Times New Roman" w:hAnsi="Arial" w:cs="Arial"/>
                <w:sz w:val="16"/>
                <w:szCs w:val="16"/>
                <w:lang w:eastAsia="es-CO"/>
              </w:rPr>
              <w:t xml:space="preserve"> </w:t>
            </w:r>
            <w:r w:rsidRPr="001B6060">
              <w:rPr>
                <w:rFonts w:ascii="Arial" w:eastAsia="Times New Roman" w:hAnsi="Arial" w:cs="Arial"/>
                <w:sz w:val="16"/>
                <w:szCs w:val="16"/>
                <w:lang w:eastAsia="es-CO"/>
              </w:rPr>
              <w:t>(BA)</w:t>
            </w:r>
          </w:p>
        </w:tc>
        <w:tc>
          <w:tcPr>
            <w:tcW w:w="2836" w:type="dxa"/>
            <w:tcBorders>
              <w:top w:val="nil"/>
              <w:left w:val="nil"/>
              <w:bottom w:val="single" w:sz="4" w:space="0" w:color="auto"/>
              <w:right w:val="single" w:sz="4" w:space="0" w:color="auto"/>
            </w:tcBorders>
            <w:shd w:val="clear" w:color="auto" w:fill="auto"/>
            <w:vAlign w:val="center"/>
            <w:hideMark/>
          </w:tcPr>
          <w:p w14:paraId="24CE8A37"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En visita de inspección al Almacén en Villavicencio, el día 09-03-2023, se evidenció la existencia de siete (7) Plantas Eléctricas de 7KVA Diesel, por valor total de $34.125.000 COP, ingresadas a la “bodega de nuevos” el 20-09-2021 y que a la fecha de la visita no se habían asignado para su uso de acuerdo con la necesidad justificada en los soportes contractuales.</w:t>
            </w:r>
          </w:p>
        </w:tc>
        <w:tc>
          <w:tcPr>
            <w:tcW w:w="1700" w:type="dxa"/>
            <w:tcBorders>
              <w:top w:val="nil"/>
              <w:left w:val="nil"/>
              <w:bottom w:val="single" w:sz="4" w:space="0" w:color="auto"/>
              <w:right w:val="single" w:sz="4" w:space="0" w:color="auto"/>
            </w:tcBorders>
            <w:shd w:val="clear" w:color="auto" w:fill="auto"/>
            <w:vAlign w:val="center"/>
            <w:hideMark/>
          </w:tcPr>
          <w:p w14:paraId="22991BDA"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Situaciones externas a la gestión administrativa, no contempladas como riesgos en la planeación de adquisición de bienes.</w:t>
            </w:r>
          </w:p>
        </w:tc>
        <w:tc>
          <w:tcPr>
            <w:tcW w:w="1559" w:type="dxa"/>
            <w:tcBorders>
              <w:top w:val="nil"/>
              <w:left w:val="nil"/>
              <w:bottom w:val="single" w:sz="4" w:space="0" w:color="auto"/>
              <w:right w:val="single" w:sz="4" w:space="0" w:color="auto"/>
            </w:tcBorders>
            <w:shd w:val="clear" w:color="auto" w:fill="auto"/>
            <w:vAlign w:val="center"/>
            <w:hideMark/>
          </w:tcPr>
          <w:p w14:paraId="66CE32B0" w14:textId="1358D898"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Capacitar a los almacenistas acerca de </w:t>
            </w:r>
            <w:r w:rsidR="0000184D" w:rsidRPr="001B6060">
              <w:rPr>
                <w:rFonts w:ascii="Arial" w:eastAsia="Times New Roman" w:hAnsi="Arial" w:cs="Arial"/>
                <w:sz w:val="16"/>
                <w:szCs w:val="16"/>
                <w:lang w:eastAsia="es-CO"/>
              </w:rPr>
              <w:t>la responsabilidad</w:t>
            </w:r>
            <w:r w:rsidRPr="001B6060">
              <w:rPr>
                <w:rFonts w:ascii="Arial" w:eastAsia="Times New Roman" w:hAnsi="Arial" w:cs="Arial"/>
                <w:sz w:val="16"/>
                <w:szCs w:val="16"/>
                <w:lang w:eastAsia="es-CO"/>
              </w:rPr>
              <w:t xml:space="preserve"> en la </w:t>
            </w:r>
            <w:r w:rsidR="0000184D" w:rsidRPr="001B6060">
              <w:rPr>
                <w:rFonts w:ascii="Arial" w:eastAsia="Times New Roman" w:hAnsi="Arial" w:cs="Arial"/>
                <w:sz w:val="16"/>
                <w:szCs w:val="16"/>
                <w:lang w:eastAsia="es-CO"/>
              </w:rPr>
              <w:t>distribución</w:t>
            </w:r>
            <w:r w:rsidRPr="001B6060">
              <w:rPr>
                <w:rFonts w:ascii="Arial" w:eastAsia="Times New Roman" w:hAnsi="Arial" w:cs="Arial"/>
                <w:sz w:val="16"/>
                <w:szCs w:val="16"/>
                <w:lang w:eastAsia="es-CO"/>
              </w:rPr>
              <w:t xml:space="preserve"> de los bienes</w:t>
            </w:r>
          </w:p>
        </w:tc>
        <w:tc>
          <w:tcPr>
            <w:tcW w:w="1844" w:type="dxa"/>
            <w:tcBorders>
              <w:top w:val="nil"/>
              <w:left w:val="nil"/>
              <w:bottom w:val="single" w:sz="4" w:space="0" w:color="auto"/>
              <w:right w:val="single" w:sz="4" w:space="0" w:color="auto"/>
            </w:tcBorders>
            <w:shd w:val="clear" w:color="auto" w:fill="auto"/>
            <w:vAlign w:val="center"/>
            <w:hideMark/>
          </w:tcPr>
          <w:p w14:paraId="0F7B887F" w14:textId="5FB9ABF5" w:rsidR="001B6060" w:rsidRPr="001B6060" w:rsidRDefault="0000184D"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Sensibilización</w:t>
            </w:r>
            <w:r w:rsidR="001B6060" w:rsidRPr="001B6060">
              <w:rPr>
                <w:rFonts w:ascii="Arial" w:eastAsia="Times New Roman" w:hAnsi="Arial" w:cs="Arial"/>
                <w:sz w:val="16"/>
                <w:szCs w:val="16"/>
                <w:lang w:eastAsia="es-CO"/>
              </w:rPr>
              <w:t xml:space="preserve"> para las Subdirecciones Regionales de Apoyo, por parte de la </w:t>
            </w:r>
            <w:r w:rsidRPr="001B6060">
              <w:rPr>
                <w:rFonts w:ascii="Arial" w:eastAsia="Times New Roman" w:hAnsi="Arial" w:cs="Arial"/>
                <w:sz w:val="16"/>
                <w:szCs w:val="16"/>
                <w:lang w:eastAsia="es-CO"/>
              </w:rPr>
              <w:t>Subdirección</w:t>
            </w:r>
            <w:r w:rsidR="001B6060" w:rsidRPr="001B6060">
              <w:rPr>
                <w:rFonts w:ascii="Arial" w:eastAsia="Times New Roman" w:hAnsi="Arial" w:cs="Arial"/>
                <w:sz w:val="16"/>
                <w:szCs w:val="16"/>
                <w:lang w:eastAsia="es-CO"/>
              </w:rPr>
              <w:t xml:space="preserve"> de </w:t>
            </w:r>
            <w:r w:rsidRPr="001B6060">
              <w:rPr>
                <w:rFonts w:ascii="Arial" w:eastAsia="Times New Roman" w:hAnsi="Arial" w:cs="Arial"/>
                <w:sz w:val="16"/>
                <w:szCs w:val="16"/>
                <w:lang w:eastAsia="es-CO"/>
              </w:rPr>
              <w:t>Bienes, sobre</w:t>
            </w:r>
            <w:r w:rsidR="001B6060" w:rsidRPr="001B6060">
              <w:rPr>
                <w:rFonts w:ascii="Arial" w:eastAsia="Times New Roman" w:hAnsi="Arial" w:cs="Arial"/>
                <w:sz w:val="16"/>
                <w:szCs w:val="16"/>
                <w:lang w:eastAsia="es-CO"/>
              </w:rPr>
              <w:t xml:space="preserve"> el análisis de rotación de bodega y aplicación de los procedimientos.</w:t>
            </w:r>
          </w:p>
        </w:tc>
        <w:tc>
          <w:tcPr>
            <w:tcW w:w="1011" w:type="dxa"/>
            <w:tcBorders>
              <w:top w:val="nil"/>
              <w:left w:val="nil"/>
              <w:bottom w:val="single" w:sz="4" w:space="0" w:color="auto"/>
              <w:right w:val="single" w:sz="4" w:space="0" w:color="auto"/>
            </w:tcBorders>
            <w:shd w:val="clear" w:color="auto" w:fill="auto"/>
            <w:vAlign w:val="center"/>
            <w:hideMark/>
          </w:tcPr>
          <w:p w14:paraId="11301B9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Registros de Sensibilización</w:t>
            </w:r>
          </w:p>
        </w:tc>
        <w:tc>
          <w:tcPr>
            <w:tcW w:w="1119" w:type="dxa"/>
            <w:tcBorders>
              <w:top w:val="nil"/>
              <w:left w:val="nil"/>
              <w:bottom w:val="single" w:sz="4" w:space="0" w:color="auto"/>
              <w:right w:val="single" w:sz="4" w:space="0" w:color="auto"/>
            </w:tcBorders>
            <w:shd w:val="clear" w:color="auto" w:fill="auto"/>
            <w:vAlign w:val="center"/>
            <w:hideMark/>
          </w:tcPr>
          <w:p w14:paraId="7D9F7D8B"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6AA029D7"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2023-10-01</w:t>
            </w:r>
          </w:p>
        </w:tc>
        <w:tc>
          <w:tcPr>
            <w:tcW w:w="1134" w:type="dxa"/>
            <w:tcBorders>
              <w:top w:val="nil"/>
              <w:left w:val="nil"/>
              <w:bottom w:val="single" w:sz="4" w:space="0" w:color="auto"/>
              <w:right w:val="single" w:sz="4" w:space="0" w:color="auto"/>
            </w:tcBorders>
            <w:shd w:val="clear" w:color="auto" w:fill="auto"/>
            <w:vAlign w:val="center"/>
            <w:hideMark/>
          </w:tcPr>
          <w:p w14:paraId="1D72101F"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2023-10-31</w:t>
            </w:r>
          </w:p>
        </w:tc>
        <w:tc>
          <w:tcPr>
            <w:tcW w:w="1816" w:type="dxa"/>
            <w:tcBorders>
              <w:top w:val="nil"/>
              <w:left w:val="nil"/>
              <w:bottom w:val="single" w:sz="4" w:space="0" w:color="auto"/>
              <w:right w:val="single" w:sz="4" w:space="0" w:color="auto"/>
            </w:tcBorders>
            <w:shd w:val="clear" w:color="000000" w:fill="FFFFFF"/>
            <w:vAlign w:val="center"/>
            <w:hideMark/>
          </w:tcPr>
          <w:p w14:paraId="3BE1482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4,29</w:t>
            </w:r>
          </w:p>
        </w:tc>
      </w:tr>
      <w:tr w:rsidR="001B6060" w:rsidRPr="001B6060" w14:paraId="7085F230" w14:textId="77777777" w:rsidTr="001B6060">
        <w:trPr>
          <w:trHeight w:val="20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7F36275"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18. Edificio Providencia Pereira.</w:t>
            </w:r>
          </w:p>
        </w:tc>
        <w:tc>
          <w:tcPr>
            <w:tcW w:w="2836" w:type="dxa"/>
            <w:tcBorders>
              <w:top w:val="nil"/>
              <w:left w:val="nil"/>
              <w:bottom w:val="single" w:sz="4" w:space="0" w:color="auto"/>
              <w:right w:val="single" w:sz="4" w:space="0" w:color="auto"/>
            </w:tcBorders>
            <w:shd w:val="clear" w:color="auto" w:fill="auto"/>
            <w:vAlign w:val="center"/>
            <w:hideMark/>
          </w:tcPr>
          <w:p w14:paraId="3F14F440" w14:textId="6E0D4600"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La F.G.N. en Pereira, cuenta con un </w:t>
            </w:r>
            <w:r w:rsidR="0000184D" w:rsidRPr="001B6060">
              <w:rPr>
                <w:rFonts w:ascii="Arial" w:eastAsia="Times New Roman" w:hAnsi="Arial" w:cs="Arial"/>
                <w:sz w:val="16"/>
                <w:szCs w:val="16"/>
                <w:lang w:eastAsia="es-CO"/>
              </w:rPr>
              <w:t>inmueble,</w:t>
            </w:r>
            <w:r w:rsidRPr="001B6060">
              <w:rPr>
                <w:rFonts w:ascii="Arial" w:eastAsia="Times New Roman" w:hAnsi="Arial" w:cs="Arial"/>
                <w:sz w:val="16"/>
                <w:szCs w:val="16"/>
                <w:lang w:eastAsia="es-CO"/>
              </w:rPr>
              <w:t xml:space="preserve"> recibido del DAS de Risaralda en el proceso de supresión, desde el 22- XII- 2011, el cual no presta ningún servicio o beneficio institucional, se encuentra en regular estado y viene generando gastos al erario por pago de servicios públicos, impuesto predial, vigilancia y mantenimiento</w:t>
            </w:r>
          </w:p>
        </w:tc>
        <w:tc>
          <w:tcPr>
            <w:tcW w:w="1700" w:type="dxa"/>
            <w:tcBorders>
              <w:top w:val="nil"/>
              <w:left w:val="nil"/>
              <w:bottom w:val="single" w:sz="4" w:space="0" w:color="auto"/>
              <w:right w:val="single" w:sz="4" w:space="0" w:color="auto"/>
            </w:tcBorders>
            <w:shd w:val="clear" w:color="000000" w:fill="FFFFFF"/>
            <w:vAlign w:val="center"/>
            <w:hideMark/>
          </w:tcPr>
          <w:p w14:paraId="21EB1B9C" w14:textId="0DA290DA"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Ocasionado por debilidades de control interno en la </w:t>
            </w:r>
            <w:r w:rsidR="0000184D" w:rsidRPr="001B6060">
              <w:rPr>
                <w:rFonts w:ascii="Arial" w:eastAsia="Times New Roman" w:hAnsi="Arial" w:cs="Arial"/>
                <w:sz w:val="16"/>
                <w:szCs w:val="16"/>
                <w:lang w:eastAsia="es-CO"/>
              </w:rPr>
              <w:t>administración</w:t>
            </w:r>
            <w:r w:rsidRPr="001B6060">
              <w:rPr>
                <w:rFonts w:ascii="Arial" w:eastAsia="Times New Roman" w:hAnsi="Arial" w:cs="Arial"/>
                <w:sz w:val="16"/>
                <w:szCs w:val="16"/>
                <w:lang w:eastAsia="es-CO"/>
              </w:rPr>
              <w:t xml:space="preserve"> del </w:t>
            </w:r>
            <w:r w:rsidR="0000184D" w:rsidRPr="001B6060">
              <w:rPr>
                <w:rFonts w:ascii="Arial" w:eastAsia="Times New Roman" w:hAnsi="Arial" w:cs="Arial"/>
                <w:sz w:val="16"/>
                <w:szCs w:val="16"/>
                <w:lang w:eastAsia="es-CO"/>
              </w:rPr>
              <w:t>inmueble bienes</w:t>
            </w:r>
            <w:r w:rsidRPr="001B6060">
              <w:rPr>
                <w:rFonts w:ascii="Arial" w:eastAsia="Times New Roman" w:hAnsi="Arial" w:cs="Arial"/>
                <w:sz w:val="16"/>
                <w:szCs w:val="16"/>
                <w:lang w:eastAsia="es-CO"/>
              </w:rPr>
              <w:t xml:space="preserve"> inmuebles y a la falta de decisiones administrativas efectivas y oportunas.</w:t>
            </w:r>
          </w:p>
        </w:tc>
        <w:tc>
          <w:tcPr>
            <w:tcW w:w="1559" w:type="dxa"/>
            <w:tcBorders>
              <w:top w:val="nil"/>
              <w:left w:val="nil"/>
              <w:bottom w:val="single" w:sz="4" w:space="0" w:color="auto"/>
              <w:right w:val="single" w:sz="4" w:space="0" w:color="auto"/>
            </w:tcBorders>
            <w:shd w:val="clear" w:color="000000" w:fill="FFFFFF"/>
            <w:vAlign w:val="center"/>
            <w:hideMark/>
          </w:tcPr>
          <w:p w14:paraId="538EF9C6" w14:textId="59A21EFC"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Identificar la necesidad de actualizar los </w:t>
            </w:r>
            <w:r w:rsidR="0000184D" w:rsidRPr="001B6060">
              <w:rPr>
                <w:rFonts w:ascii="Arial" w:eastAsia="Times New Roman" w:hAnsi="Arial" w:cs="Arial"/>
                <w:sz w:val="16"/>
                <w:szCs w:val="16"/>
                <w:lang w:eastAsia="es-CO"/>
              </w:rPr>
              <w:t>avalúos</w:t>
            </w:r>
            <w:r w:rsidRPr="001B6060">
              <w:rPr>
                <w:rFonts w:ascii="Arial" w:eastAsia="Times New Roman" w:hAnsi="Arial" w:cs="Arial"/>
                <w:sz w:val="16"/>
                <w:szCs w:val="16"/>
                <w:lang w:eastAsia="es-CO"/>
              </w:rPr>
              <w:t xml:space="preserve"> de los bienes inmuebles de la FGN a Nivel Nacional</w:t>
            </w:r>
          </w:p>
        </w:tc>
        <w:tc>
          <w:tcPr>
            <w:tcW w:w="1844" w:type="dxa"/>
            <w:tcBorders>
              <w:top w:val="nil"/>
              <w:left w:val="nil"/>
              <w:bottom w:val="single" w:sz="4" w:space="0" w:color="auto"/>
              <w:right w:val="single" w:sz="4" w:space="0" w:color="auto"/>
            </w:tcBorders>
            <w:shd w:val="clear" w:color="auto" w:fill="auto"/>
            <w:vAlign w:val="center"/>
            <w:hideMark/>
          </w:tcPr>
          <w:p w14:paraId="2F11136C" w14:textId="726D1C6F"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Actualizar los </w:t>
            </w:r>
            <w:r w:rsidR="0000184D" w:rsidRPr="001B6060">
              <w:rPr>
                <w:rFonts w:ascii="Arial" w:eastAsia="Times New Roman" w:hAnsi="Arial" w:cs="Arial"/>
                <w:sz w:val="16"/>
                <w:szCs w:val="16"/>
                <w:lang w:eastAsia="es-CO"/>
              </w:rPr>
              <w:t>avalúos</w:t>
            </w:r>
            <w:r w:rsidRPr="001B6060">
              <w:rPr>
                <w:rFonts w:ascii="Arial" w:eastAsia="Times New Roman" w:hAnsi="Arial" w:cs="Arial"/>
                <w:sz w:val="16"/>
                <w:szCs w:val="16"/>
                <w:lang w:eastAsia="es-CO"/>
              </w:rPr>
              <w:t xml:space="preserve"> de los bienes inmuebles</w:t>
            </w:r>
          </w:p>
        </w:tc>
        <w:tc>
          <w:tcPr>
            <w:tcW w:w="1011" w:type="dxa"/>
            <w:tcBorders>
              <w:top w:val="nil"/>
              <w:left w:val="nil"/>
              <w:bottom w:val="single" w:sz="4" w:space="0" w:color="auto"/>
              <w:right w:val="single" w:sz="4" w:space="0" w:color="auto"/>
            </w:tcBorders>
            <w:shd w:val="clear" w:color="auto" w:fill="auto"/>
            <w:vAlign w:val="center"/>
            <w:hideMark/>
          </w:tcPr>
          <w:p w14:paraId="3D22DEB1" w14:textId="25367822"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Documento </w:t>
            </w:r>
            <w:r w:rsidR="0000184D" w:rsidRPr="001B6060">
              <w:rPr>
                <w:rFonts w:ascii="Arial" w:eastAsia="Times New Roman" w:hAnsi="Arial" w:cs="Arial"/>
                <w:sz w:val="16"/>
                <w:szCs w:val="16"/>
                <w:lang w:eastAsia="es-CO"/>
              </w:rPr>
              <w:t>avalúo</w:t>
            </w:r>
          </w:p>
        </w:tc>
        <w:tc>
          <w:tcPr>
            <w:tcW w:w="1119" w:type="dxa"/>
            <w:tcBorders>
              <w:top w:val="nil"/>
              <w:left w:val="nil"/>
              <w:bottom w:val="single" w:sz="4" w:space="0" w:color="auto"/>
              <w:right w:val="single" w:sz="4" w:space="0" w:color="auto"/>
            </w:tcBorders>
            <w:shd w:val="clear" w:color="auto" w:fill="auto"/>
            <w:vAlign w:val="center"/>
            <w:hideMark/>
          </w:tcPr>
          <w:p w14:paraId="7DC5F893"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2EDE1C2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19EB150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2024-08-01</w:t>
            </w:r>
          </w:p>
        </w:tc>
        <w:tc>
          <w:tcPr>
            <w:tcW w:w="1816" w:type="dxa"/>
            <w:tcBorders>
              <w:top w:val="nil"/>
              <w:left w:val="nil"/>
              <w:bottom w:val="single" w:sz="4" w:space="0" w:color="auto"/>
              <w:right w:val="single" w:sz="4" w:space="0" w:color="auto"/>
            </w:tcBorders>
            <w:shd w:val="clear" w:color="000000" w:fill="FFFFFF"/>
            <w:vAlign w:val="center"/>
            <w:hideMark/>
          </w:tcPr>
          <w:p w14:paraId="6A91A57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52,29</w:t>
            </w:r>
          </w:p>
        </w:tc>
      </w:tr>
      <w:tr w:rsidR="001B6060" w:rsidRPr="001B6060" w14:paraId="287CE8A2" w14:textId="77777777" w:rsidTr="001B6060">
        <w:trPr>
          <w:trHeight w:val="249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DA91678"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18. Edificio Providencia Pereira.</w:t>
            </w:r>
          </w:p>
        </w:tc>
        <w:tc>
          <w:tcPr>
            <w:tcW w:w="2836" w:type="dxa"/>
            <w:tcBorders>
              <w:top w:val="nil"/>
              <w:left w:val="nil"/>
              <w:bottom w:val="single" w:sz="4" w:space="0" w:color="auto"/>
              <w:right w:val="single" w:sz="4" w:space="0" w:color="auto"/>
            </w:tcBorders>
            <w:shd w:val="clear" w:color="auto" w:fill="auto"/>
            <w:vAlign w:val="center"/>
            <w:hideMark/>
          </w:tcPr>
          <w:p w14:paraId="3ACFDD53" w14:textId="42F36169"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La F.G.N. en Pereira, cuenta con un </w:t>
            </w:r>
            <w:r w:rsidR="0000184D" w:rsidRPr="001B6060">
              <w:rPr>
                <w:rFonts w:ascii="Arial" w:eastAsia="Times New Roman" w:hAnsi="Arial" w:cs="Arial"/>
                <w:sz w:val="16"/>
                <w:szCs w:val="16"/>
                <w:lang w:eastAsia="es-CO"/>
              </w:rPr>
              <w:t>inmueble,</w:t>
            </w:r>
            <w:r w:rsidRPr="001B6060">
              <w:rPr>
                <w:rFonts w:ascii="Arial" w:eastAsia="Times New Roman" w:hAnsi="Arial" w:cs="Arial"/>
                <w:sz w:val="16"/>
                <w:szCs w:val="16"/>
                <w:lang w:eastAsia="es-CO"/>
              </w:rPr>
              <w:t xml:space="preserve"> recibido del DAS de Risaralda en el proceso de supresión, desde el 22- XII- 2011, el cual no presta ningún servicio o beneficio institucional, se encuentra en regular estado y viene generando gastos al erario por pago de servicios públicos, impuesto predial, vigilancia y mantenimiento</w:t>
            </w:r>
          </w:p>
        </w:tc>
        <w:tc>
          <w:tcPr>
            <w:tcW w:w="1700" w:type="dxa"/>
            <w:tcBorders>
              <w:top w:val="nil"/>
              <w:left w:val="nil"/>
              <w:bottom w:val="single" w:sz="4" w:space="0" w:color="auto"/>
              <w:right w:val="single" w:sz="4" w:space="0" w:color="auto"/>
            </w:tcBorders>
            <w:shd w:val="clear" w:color="000000" w:fill="FFFFFF"/>
            <w:vAlign w:val="center"/>
            <w:hideMark/>
          </w:tcPr>
          <w:p w14:paraId="536A89ED" w14:textId="523B95A6" w:rsidR="001B6060" w:rsidRPr="001B6060" w:rsidRDefault="0000184D"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Ocasionado</w:t>
            </w:r>
            <w:r w:rsidR="001B6060" w:rsidRPr="001B6060">
              <w:rPr>
                <w:rFonts w:ascii="Arial" w:eastAsia="Times New Roman" w:hAnsi="Arial" w:cs="Arial"/>
                <w:sz w:val="16"/>
                <w:szCs w:val="16"/>
                <w:lang w:eastAsia="es-CO"/>
              </w:rPr>
              <w:t xml:space="preserve"> por debilidades de control interno en la </w:t>
            </w:r>
            <w:r w:rsidRPr="001B6060">
              <w:rPr>
                <w:rFonts w:ascii="Arial" w:eastAsia="Times New Roman" w:hAnsi="Arial" w:cs="Arial"/>
                <w:sz w:val="16"/>
                <w:szCs w:val="16"/>
                <w:lang w:eastAsia="es-CO"/>
              </w:rPr>
              <w:t>administración</w:t>
            </w:r>
            <w:r w:rsidR="001B6060" w:rsidRPr="001B6060">
              <w:rPr>
                <w:rFonts w:ascii="Arial" w:eastAsia="Times New Roman" w:hAnsi="Arial" w:cs="Arial"/>
                <w:sz w:val="16"/>
                <w:szCs w:val="16"/>
                <w:lang w:eastAsia="es-CO"/>
              </w:rPr>
              <w:t xml:space="preserve"> del </w:t>
            </w:r>
            <w:r w:rsidRPr="001B6060">
              <w:rPr>
                <w:rFonts w:ascii="Arial" w:eastAsia="Times New Roman" w:hAnsi="Arial" w:cs="Arial"/>
                <w:sz w:val="16"/>
                <w:szCs w:val="16"/>
                <w:lang w:eastAsia="es-CO"/>
              </w:rPr>
              <w:t>inmueble bienes</w:t>
            </w:r>
            <w:r w:rsidR="001B6060" w:rsidRPr="001B6060">
              <w:rPr>
                <w:rFonts w:ascii="Arial" w:eastAsia="Times New Roman" w:hAnsi="Arial" w:cs="Arial"/>
                <w:sz w:val="16"/>
                <w:szCs w:val="16"/>
                <w:lang w:eastAsia="es-CO"/>
              </w:rPr>
              <w:t xml:space="preserve"> inmuebles y a la falta de decisiones administrativas efectivas y oportunas.</w:t>
            </w:r>
          </w:p>
        </w:tc>
        <w:tc>
          <w:tcPr>
            <w:tcW w:w="1559" w:type="dxa"/>
            <w:tcBorders>
              <w:top w:val="nil"/>
              <w:left w:val="nil"/>
              <w:bottom w:val="single" w:sz="4" w:space="0" w:color="auto"/>
              <w:right w:val="single" w:sz="4" w:space="0" w:color="auto"/>
            </w:tcBorders>
            <w:shd w:val="clear" w:color="000000" w:fill="FFFFFF"/>
            <w:vAlign w:val="center"/>
            <w:hideMark/>
          </w:tcPr>
          <w:p w14:paraId="393A1B98" w14:textId="4A65698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Identificar la necesidad de actualizar los </w:t>
            </w:r>
            <w:r w:rsidR="0000184D" w:rsidRPr="001B6060">
              <w:rPr>
                <w:rFonts w:ascii="Arial" w:eastAsia="Times New Roman" w:hAnsi="Arial" w:cs="Arial"/>
                <w:sz w:val="16"/>
                <w:szCs w:val="16"/>
                <w:lang w:eastAsia="es-CO"/>
              </w:rPr>
              <w:t>avalúos</w:t>
            </w:r>
            <w:r w:rsidRPr="001B6060">
              <w:rPr>
                <w:rFonts w:ascii="Arial" w:eastAsia="Times New Roman" w:hAnsi="Arial" w:cs="Arial"/>
                <w:sz w:val="16"/>
                <w:szCs w:val="16"/>
                <w:lang w:eastAsia="es-CO"/>
              </w:rPr>
              <w:t xml:space="preserve"> de los bienes inmuebles de la FGN a Nivel Nacional con el fin de adelantar posibles permutas</w:t>
            </w:r>
          </w:p>
        </w:tc>
        <w:tc>
          <w:tcPr>
            <w:tcW w:w="1844" w:type="dxa"/>
            <w:tcBorders>
              <w:top w:val="nil"/>
              <w:left w:val="nil"/>
              <w:bottom w:val="single" w:sz="4" w:space="0" w:color="auto"/>
              <w:right w:val="single" w:sz="4" w:space="0" w:color="auto"/>
            </w:tcBorders>
            <w:shd w:val="clear" w:color="auto" w:fill="auto"/>
            <w:vAlign w:val="center"/>
            <w:hideMark/>
          </w:tcPr>
          <w:p w14:paraId="05416F8A"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Radicar los estudios previos de los bienes que se requieran permutar</w:t>
            </w:r>
          </w:p>
        </w:tc>
        <w:tc>
          <w:tcPr>
            <w:tcW w:w="1011" w:type="dxa"/>
            <w:tcBorders>
              <w:top w:val="nil"/>
              <w:left w:val="nil"/>
              <w:bottom w:val="single" w:sz="4" w:space="0" w:color="auto"/>
              <w:right w:val="single" w:sz="4" w:space="0" w:color="auto"/>
            </w:tcBorders>
            <w:shd w:val="clear" w:color="auto" w:fill="auto"/>
            <w:vAlign w:val="center"/>
            <w:hideMark/>
          </w:tcPr>
          <w:p w14:paraId="3A60A207"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Estudio previo</w:t>
            </w:r>
          </w:p>
        </w:tc>
        <w:tc>
          <w:tcPr>
            <w:tcW w:w="1119" w:type="dxa"/>
            <w:tcBorders>
              <w:top w:val="nil"/>
              <w:left w:val="nil"/>
              <w:bottom w:val="single" w:sz="4" w:space="0" w:color="auto"/>
              <w:right w:val="single" w:sz="4" w:space="0" w:color="auto"/>
            </w:tcBorders>
            <w:shd w:val="clear" w:color="auto" w:fill="auto"/>
            <w:vAlign w:val="center"/>
            <w:hideMark/>
          </w:tcPr>
          <w:p w14:paraId="2834B66B"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0946F27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01D0F05D"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2024-08-01</w:t>
            </w:r>
          </w:p>
        </w:tc>
        <w:tc>
          <w:tcPr>
            <w:tcW w:w="1816" w:type="dxa"/>
            <w:tcBorders>
              <w:top w:val="nil"/>
              <w:left w:val="nil"/>
              <w:bottom w:val="single" w:sz="4" w:space="0" w:color="auto"/>
              <w:right w:val="single" w:sz="4" w:space="0" w:color="auto"/>
            </w:tcBorders>
            <w:shd w:val="clear" w:color="000000" w:fill="FFFFFF"/>
            <w:vAlign w:val="center"/>
            <w:hideMark/>
          </w:tcPr>
          <w:p w14:paraId="47A1E28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52,29</w:t>
            </w:r>
          </w:p>
        </w:tc>
      </w:tr>
      <w:tr w:rsidR="001B6060" w:rsidRPr="001B6060" w14:paraId="3B442E69" w14:textId="77777777" w:rsidTr="001B6060">
        <w:trPr>
          <w:trHeight w:val="7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AF55C2D"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82.  Adiciones contractuales.</w:t>
            </w:r>
          </w:p>
        </w:tc>
        <w:tc>
          <w:tcPr>
            <w:tcW w:w="2836" w:type="dxa"/>
            <w:tcBorders>
              <w:top w:val="nil"/>
              <w:left w:val="nil"/>
              <w:bottom w:val="single" w:sz="4" w:space="0" w:color="auto"/>
              <w:right w:val="single" w:sz="4" w:space="0" w:color="auto"/>
            </w:tcBorders>
            <w:shd w:val="clear" w:color="auto" w:fill="auto"/>
            <w:vAlign w:val="center"/>
            <w:hideMark/>
          </w:tcPr>
          <w:p w14:paraId="11DE1593" w14:textId="619CBEAD"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SRAP Contrato #017-2019, se adicionó por $34.404.884,00, por un plazo de dos (2) meses; se observó que dentro del expediente no se evidencian los </w:t>
            </w:r>
            <w:r w:rsidR="0000184D" w:rsidRPr="001B6060">
              <w:rPr>
                <w:rFonts w:ascii="Arial" w:eastAsia="Times New Roman" w:hAnsi="Arial" w:cs="Arial"/>
                <w:sz w:val="16"/>
                <w:szCs w:val="16"/>
                <w:lang w:eastAsia="es-CO"/>
              </w:rPr>
              <w:t>documentos soporte</w:t>
            </w:r>
            <w:r w:rsidRPr="001B6060">
              <w:rPr>
                <w:rFonts w:ascii="Arial" w:eastAsia="Times New Roman" w:hAnsi="Arial" w:cs="Arial"/>
                <w:sz w:val="16"/>
                <w:szCs w:val="16"/>
                <w:lang w:eastAsia="es-CO"/>
              </w:rPr>
              <w:t xml:space="preserve"> que se requieren para adelantar dicho trámite administrativo.</w:t>
            </w:r>
          </w:p>
        </w:tc>
        <w:tc>
          <w:tcPr>
            <w:tcW w:w="1700" w:type="dxa"/>
            <w:tcBorders>
              <w:top w:val="nil"/>
              <w:left w:val="nil"/>
              <w:bottom w:val="single" w:sz="4" w:space="0" w:color="auto"/>
              <w:right w:val="single" w:sz="4" w:space="0" w:color="auto"/>
            </w:tcBorders>
            <w:shd w:val="clear" w:color="auto" w:fill="auto"/>
            <w:vAlign w:val="center"/>
            <w:hideMark/>
          </w:tcPr>
          <w:p w14:paraId="0FEE591C"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en la exigencia de acreditación y soporte para el trámite de modificatorios</w:t>
            </w:r>
          </w:p>
        </w:tc>
        <w:tc>
          <w:tcPr>
            <w:tcW w:w="1559" w:type="dxa"/>
            <w:tcBorders>
              <w:top w:val="nil"/>
              <w:left w:val="nil"/>
              <w:bottom w:val="single" w:sz="4" w:space="0" w:color="auto"/>
              <w:right w:val="single" w:sz="4" w:space="0" w:color="auto"/>
            </w:tcBorders>
            <w:shd w:val="clear" w:color="000000" w:fill="FFFFFF"/>
            <w:vAlign w:val="center"/>
            <w:hideMark/>
          </w:tcPr>
          <w:p w14:paraId="45DD3D32" w14:textId="7FEEDB4C"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Realizar mesa de trabajo virtual con los coordinadores contractuales de las regionales, </w:t>
            </w:r>
            <w:r w:rsidR="0000184D" w:rsidRPr="001B6060">
              <w:rPr>
                <w:rFonts w:ascii="Arial" w:eastAsia="Times New Roman" w:hAnsi="Arial" w:cs="Arial"/>
                <w:sz w:val="16"/>
                <w:szCs w:val="16"/>
                <w:lang w:eastAsia="es-CO"/>
              </w:rPr>
              <w:t>para puntualizar</w:t>
            </w:r>
            <w:r w:rsidRPr="001B6060">
              <w:rPr>
                <w:rFonts w:ascii="Arial" w:eastAsia="Times New Roman" w:hAnsi="Arial" w:cs="Arial"/>
                <w:sz w:val="16"/>
                <w:szCs w:val="16"/>
                <w:lang w:eastAsia="es-CO"/>
              </w:rPr>
              <w:t xml:space="preserve"> sobre lo establecido en el Manual de Contratación y en la </w:t>
            </w:r>
            <w:r w:rsidR="0000184D" w:rsidRPr="001B6060">
              <w:rPr>
                <w:rFonts w:ascii="Arial" w:eastAsia="Times New Roman" w:hAnsi="Arial" w:cs="Arial"/>
                <w:sz w:val="16"/>
                <w:szCs w:val="16"/>
                <w:lang w:eastAsia="es-CO"/>
              </w:rPr>
              <w:t>normatividad</w:t>
            </w:r>
            <w:r w:rsidRPr="001B6060">
              <w:rPr>
                <w:rFonts w:ascii="Arial" w:eastAsia="Times New Roman" w:hAnsi="Arial" w:cs="Arial"/>
                <w:sz w:val="16"/>
                <w:szCs w:val="16"/>
                <w:lang w:eastAsia="es-CO"/>
              </w:rPr>
              <w:t xml:space="preserve"> vigente, </w:t>
            </w:r>
            <w:r w:rsidR="0000184D" w:rsidRPr="001B6060">
              <w:rPr>
                <w:rFonts w:ascii="Arial" w:eastAsia="Times New Roman" w:hAnsi="Arial" w:cs="Arial"/>
                <w:sz w:val="16"/>
                <w:szCs w:val="16"/>
                <w:lang w:eastAsia="es-CO"/>
              </w:rPr>
              <w:t>respecto a</w:t>
            </w:r>
            <w:r w:rsidRPr="001B6060">
              <w:rPr>
                <w:rFonts w:ascii="Arial" w:eastAsia="Times New Roman" w:hAnsi="Arial" w:cs="Arial"/>
                <w:sz w:val="16"/>
                <w:szCs w:val="16"/>
                <w:lang w:eastAsia="es-CO"/>
              </w:rPr>
              <w:t xml:space="preserve"> los </w:t>
            </w:r>
            <w:proofErr w:type="gramStart"/>
            <w:r w:rsidRPr="001B6060">
              <w:rPr>
                <w:rFonts w:ascii="Arial" w:eastAsia="Times New Roman" w:hAnsi="Arial" w:cs="Arial"/>
                <w:sz w:val="16"/>
                <w:szCs w:val="16"/>
                <w:lang w:eastAsia="es-CO"/>
              </w:rPr>
              <w:t>requisitos  que</w:t>
            </w:r>
            <w:proofErr w:type="gramEnd"/>
            <w:r w:rsidRPr="001B6060">
              <w:rPr>
                <w:rFonts w:ascii="Arial" w:eastAsia="Times New Roman" w:hAnsi="Arial" w:cs="Arial"/>
                <w:sz w:val="16"/>
                <w:szCs w:val="16"/>
                <w:lang w:eastAsia="es-CO"/>
              </w:rPr>
              <w:t xml:space="preserve"> se </w:t>
            </w:r>
            <w:r w:rsidR="0000184D" w:rsidRPr="001B6060">
              <w:rPr>
                <w:rFonts w:ascii="Arial" w:eastAsia="Times New Roman" w:hAnsi="Arial" w:cs="Arial"/>
                <w:sz w:val="16"/>
                <w:szCs w:val="16"/>
                <w:lang w:eastAsia="es-CO"/>
              </w:rPr>
              <w:t>requieren</w:t>
            </w:r>
            <w:r w:rsidRPr="001B6060">
              <w:rPr>
                <w:rFonts w:ascii="Arial" w:eastAsia="Times New Roman" w:hAnsi="Arial" w:cs="Arial"/>
                <w:sz w:val="16"/>
                <w:szCs w:val="16"/>
                <w:lang w:eastAsia="es-CO"/>
              </w:rPr>
              <w:t xml:space="preserve"> para la suscripción de </w:t>
            </w:r>
            <w:r w:rsidRPr="001B6060">
              <w:rPr>
                <w:rFonts w:ascii="Arial" w:eastAsia="Times New Roman" w:hAnsi="Arial" w:cs="Arial"/>
                <w:sz w:val="16"/>
                <w:szCs w:val="16"/>
                <w:lang w:eastAsia="es-CO"/>
              </w:rPr>
              <w:lastRenderedPageBreak/>
              <w:t xml:space="preserve">modificatorios de contratos. </w:t>
            </w:r>
          </w:p>
        </w:tc>
        <w:tc>
          <w:tcPr>
            <w:tcW w:w="1844" w:type="dxa"/>
            <w:tcBorders>
              <w:top w:val="nil"/>
              <w:left w:val="nil"/>
              <w:bottom w:val="single" w:sz="4" w:space="0" w:color="auto"/>
              <w:right w:val="single" w:sz="4" w:space="0" w:color="auto"/>
            </w:tcBorders>
            <w:shd w:val="clear" w:color="000000" w:fill="FFFFFF"/>
            <w:vAlign w:val="center"/>
            <w:hideMark/>
          </w:tcPr>
          <w:p w14:paraId="53817F94" w14:textId="5513C69D"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 xml:space="preserve">Sesiones virtuales a los Coordinadores contractuales de las regionales con el fin de </w:t>
            </w:r>
            <w:r w:rsidR="0000184D" w:rsidRPr="001B6060">
              <w:rPr>
                <w:rFonts w:ascii="Arial" w:eastAsia="Times New Roman" w:hAnsi="Arial" w:cs="Arial"/>
                <w:sz w:val="16"/>
                <w:szCs w:val="16"/>
                <w:lang w:eastAsia="es-CO"/>
              </w:rPr>
              <w:t>sensibilizar</w:t>
            </w:r>
            <w:r w:rsidRPr="001B6060">
              <w:rPr>
                <w:rFonts w:ascii="Arial" w:eastAsia="Times New Roman" w:hAnsi="Arial" w:cs="Arial"/>
                <w:sz w:val="16"/>
                <w:szCs w:val="16"/>
                <w:lang w:eastAsia="es-CO"/>
              </w:rPr>
              <w:t xml:space="preserve"> sobre lo establecido en el Manual de Contratación y en la </w:t>
            </w:r>
            <w:r w:rsidR="0000184D" w:rsidRPr="001B6060">
              <w:rPr>
                <w:rFonts w:ascii="Arial" w:eastAsia="Times New Roman" w:hAnsi="Arial" w:cs="Arial"/>
                <w:sz w:val="16"/>
                <w:szCs w:val="16"/>
                <w:lang w:eastAsia="es-CO"/>
              </w:rPr>
              <w:t>normatividad</w:t>
            </w:r>
            <w:r w:rsidRPr="001B6060">
              <w:rPr>
                <w:rFonts w:ascii="Arial" w:eastAsia="Times New Roman" w:hAnsi="Arial" w:cs="Arial"/>
                <w:sz w:val="16"/>
                <w:szCs w:val="16"/>
                <w:lang w:eastAsia="es-CO"/>
              </w:rPr>
              <w:t xml:space="preserve"> vigente, </w:t>
            </w:r>
            <w:r w:rsidR="0000184D" w:rsidRPr="001B6060">
              <w:rPr>
                <w:rFonts w:ascii="Arial" w:eastAsia="Times New Roman" w:hAnsi="Arial" w:cs="Arial"/>
                <w:sz w:val="16"/>
                <w:szCs w:val="16"/>
                <w:lang w:eastAsia="es-CO"/>
              </w:rPr>
              <w:t>respecto a</w:t>
            </w:r>
            <w:r w:rsidRPr="001B6060">
              <w:rPr>
                <w:rFonts w:ascii="Arial" w:eastAsia="Times New Roman" w:hAnsi="Arial" w:cs="Arial"/>
                <w:sz w:val="16"/>
                <w:szCs w:val="16"/>
                <w:lang w:eastAsia="es-CO"/>
              </w:rPr>
              <w:t xml:space="preserve"> los </w:t>
            </w:r>
            <w:r w:rsidR="0000184D" w:rsidRPr="001B6060">
              <w:rPr>
                <w:rFonts w:ascii="Arial" w:eastAsia="Times New Roman" w:hAnsi="Arial" w:cs="Arial"/>
                <w:sz w:val="16"/>
                <w:szCs w:val="16"/>
                <w:lang w:eastAsia="es-CO"/>
              </w:rPr>
              <w:t>requisitos que</w:t>
            </w:r>
            <w:r w:rsidRPr="001B6060">
              <w:rPr>
                <w:rFonts w:ascii="Arial" w:eastAsia="Times New Roman" w:hAnsi="Arial" w:cs="Arial"/>
                <w:sz w:val="16"/>
                <w:szCs w:val="16"/>
                <w:lang w:eastAsia="es-CO"/>
              </w:rPr>
              <w:t xml:space="preserve"> se requieren para la suscripción de modificatorios de contratos. </w:t>
            </w:r>
          </w:p>
        </w:tc>
        <w:tc>
          <w:tcPr>
            <w:tcW w:w="1011" w:type="dxa"/>
            <w:tcBorders>
              <w:top w:val="nil"/>
              <w:left w:val="nil"/>
              <w:bottom w:val="single" w:sz="4" w:space="0" w:color="auto"/>
              <w:right w:val="single" w:sz="4" w:space="0" w:color="auto"/>
            </w:tcBorders>
            <w:shd w:val="clear" w:color="000000" w:fill="FFFFFF"/>
            <w:vAlign w:val="center"/>
            <w:hideMark/>
          </w:tcPr>
          <w:p w14:paraId="2A08377E" w14:textId="64064525"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Grabación vía Te</w:t>
            </w:r>
            <w:r w:rsidR="0000184D">
              <w:rPr>
                <w:rFonts w:ascii="Arial" w:eastAsia="Times New Roman" w:hAnsi="Arial" w:cs="Arial"/>
                <w:sz w:val="16"/>
                <w:szCs w:val="16"/>
                <w:lang w:eastAsia="es-CO"/>
              </w:rPr>
              <w:t>a</w:t>
            </w:r>
            <w:r w:rsidRPr="001B6060">
              <w:rPr>
                <w:rFonts w:ascii="Arial" w:eastAsia="Times New Roman" w:hAnsi="Arial" w:cs="Arial"/>
                <w:sz w:val="16"/>
                <w:szCs w:val="16"/>
                <w:lang w:eastAsia="es-CO"/>
              </w:rPr>
              <w:t>ms y planilla de asistencia</w:t>
            </w:r>
          </w:p>
        </w:tc>
        <w:tc>
          <w:tcPr>
            <w:tcW w:w="1119" w:type="dxa"/>
            <w:tcBorders>
              <w:top w:val="nil"/>
              <w:left w:val="nil"/>
              <w:bottom w:val="single" w:sz="4" w:space="0" w:color="auto"/>
              <w:right w:val="single" w:sz="4" w:space="0" w:color="auto"/>
            </w:tcBorders>
            <w:shd w:val="clear" w:color="auto" w:fill="auto"/>
            <w:vAlign w:val="center"/>
            <w:hideMark/>
          </w:tcPr>
          <w:p w14:paraId="1845B7BD"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45A694C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22A60B81"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2023-10-31</w:t>
            </w:r>
          </w:p>
        </w:tc>
        <w:tc>
          <w:tcPr>
            <w:tcW w:w="1816" w:type="dxa"/>
            <w:tcBorders>
              <w:top w:val="nil"/>
              <w:left w:val="nil"/>
              <w:bottom w:val="single" w:sz="4" w:space="0" w:color="auto"/>
              <w:right w:val="single" w:sz="4" w:space="0" w:color="auto"/>
            </w:tcBorders>
            <w:shd w:val="clear" w:color="000000" w:fill="FFFFFF"/>
            <w:vAlign w:val="center"/>
            <w:hideMark/>
          </w:tcPr>
          <w:p w14:paraId="571427B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13,00</w:t>
            </w:r>
          </w:p>
        </w:tc>
      </w:tr>
      <w:tr w:rsidR="001B6060" w:rsidRPr="001B6060" w14:paraId="2C3984CA" w14:textId="77777777" w:rsidTr="001B6060">
        <w:trPr>
          <w:trHeight w:val="20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41B53BF3"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H.  11. Identificación y registro de activos fijos (A). </w:t>
            </w:r>
          </w:p>
        </w:tc>
        <w:tc>
          <w:tcPr>
            <w:tcW w:w="2836" w:type="dxa"/>
            <w:tcBorders>
              <w:top w:val="nil"/>
              <w:left w:val="nil"/>
              <w:bottom w:val="single" w:sz="4" w:space="0" w:color="auto"/>
              <w:right w:val="single" w:sz="4" w:space="0" w:color="auto"/>
            </w:tcBorders>
            <w:shd w:val="clear" w:color="auto" w:fill="auto"/>
            <w:vAlign w:val="center"/>
            <w:hideMark/>
          </w:tcPr>
          <w:p w14:paraId="60C9AFE5"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En solicitud de información de la CGR de bajas de equipos informáticos siniestrados no se pudo obtener el costo histórico en el SIAF de la UPS Titán de 6 KVA placa No. 31850027 de la seccional Cauca; 4 impresoras láser y 2 monitores de la seccional Norte de Santander y un escáner de la seccional Cundinamarca, aunque en la solicitud se incluyó el respectivo número serial.</w:t>
            </w:r>
          </w:p>
        </w:tc>
        <w:tc>
          <w:tcPr>
            <w:tcW w:w="1700" w:type="dxa"/>
            <w:tcBorders>
              <w:top w:val="nil"/>
              <w:left w:val="nil"/>
              <w:bottom w:val="single" w:sz="4" w:space="0" w:color="auto"/>
              <w:right w:val="single" w:sz="4" w:space="0" w:color="auto"/>
            </w:tcBorders>
            <w:shd w:val="clear" w:color="auto" w:fill="auto"/>
            <w:vAlign w:val="center"/>
            <w:hideMark/>
          </w:tcPr>
          <w:p w14:paraId="346DBD22"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Incumplimiento de las disposiciones para realizar el reporte de las novedades de bienes patrimoniales y transitorios por parte del área técnica</w:t>
            </w:r>
          </w:p>
        </w:tc>
        <w:tc>
          <w:tcPr>
            <w:tcW w:w="1559" w:type="dxa"/>
            <w:tcBorders>
              <w:top w:val="nil"/>
              <w:left w:val="nil"/>
              <w:bottom w:val="single" w:sz="4" w:space="0" w:color="auto"/>
              <w:right w:val="single" w:sz="4" w:space="0" w:color="auto"/>
            </w:tcBorders>
            <w:shd w:val="clear" w:color="000000" w:fill="FFFFFF"/>
            <w:vAlign w:val="center"/>
            <w:hideMark/>
          </w:tcPr>
          <w:p w14:paraId="70FD8C21"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Articular las actividades relacionadas con los controles ejercidos por la Subdirección de las TIC sobre los bienes de tecnologías de la información con los procedimientos de registro del inventario de bienes de la FGN</w:t>
            </w:r>
          </w:p>
        </w:tc>
        <w:tc>
          <w:tcPr>
            <w:tcW w:w="1844" w:type="dxa"/>
            <w:tcBorders>
              <w:top w:val="nil"/>
              <w:left w:val="nil"/>
              <w:bottom w:val="single" w:sz="4" w:space="0" w:color="auto"/>
              <w:right w:val="single" w:sz="4" w:space="0" w:color="auto"/>
            </w:tcBorders>
            <w:shd w:val="clear" w:color="000000" w:fill="FFFFFF"/>
            <w:vAlign w:val="center"/>
            <w:hideMark/>
          </w:tcPr>
          <w:p w14:paraId="49F5B278" w14:textId="4290D4B0"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Solicitar a la Subdirección de Bienes capacitación sobre </w:t>
            </w:r>
            <w:r w:rsidR="0000184D" w:rsidRPr="001B6060">
              <w:rPr>
                <w:rFonts w:ascii="Arial" w:eastAsia="Times New Roman" w:hAnsi="Arial" w:cs="Arial"/>
                <w:sz w:val="16"/>
                <w:szCs w:val="16"/>
                <w:lang w:eastAsia="es-CO"/>
              </w:rPr>
              <w:t>el registro</w:t>
            </w:r>
            <w:r w:rsidRPr="001B6060">
              <w:rPr>
                <w:rFonts w:ascii="Arial" w:eastAsia="Times New Roman" w:hAnsi="Arial" w:cs="Arial"/>
                <w:sz w:val="16"/>
                <w:szCs w:val="16"/>
                <w:lang w:eastAsia="es-CO"/>
              </w:rPr>
              <w:t xml:space="preserve"> y control de los bienes tecnológicos, reclamaciones ante aseguradoras, traslados de equipos tecnológicos, garantías y conceptos técnicos para los analistas regionales, seccionales y funcionarios de la Subdirección de Tecnologías de Nivel central.</w:t>
            </w:r>
          </w:p>
        </w:tc>
        <w:tc>
          <w:tcPr>
            <w:tcW w:w="1011" w:type="dxa"/>
            <w:tcBorders>
              <w:top w:val="nil"/>
              <w:left w:val="nil"/>
              <w:bottom w:val="single" w:sz="4" w:space="0" w:color="auto"/>
              <w:right w:val="single" w:sz="4" w:space="0" w:color="auto"/>
            </w:tcBorders>
            <w:shd w:val="clear" w:color="000000" w:fill="FFFFFF"/>
            <w:vAlign w:val="center"/>
            <w:hideMark/>
          </w:tcPr>
          <w:p w14:paraId="71CC6F6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Solicitud</w:t>
            </w:r>
          </w:p>
        </w:tc>
        <w:tc>
          <w:tcPr>
            <w:tcW w:w="1119" w:type="dxa"/>
            <w:tcBorders>
              <w:top w:val="nil"/>
              <w:left w:val="nil"/>
              <w:bottom w:val="single" w:sz="4" w:space="0" w:color="auto"/>
              <w:right w:val="single" w:sz="4" w:space="0" w:color="auto"/>
            </w:tcBorders>
            <w:shd w:val="clear" w:color="auto" w:fill="auto"/>
            <w:vAlign w:val="center"/>
            <w:hideMark/>
          </w:tcPr>
          <w:p w14:paraId="4ADA72A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396E096D"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4D6C656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2023-08-31</w:t>
            </w:r>
          </w:p>
        </w:tc>
        <w:tc>
          <w:tcPr>
            <w:tcW w:w="1816" w:type="dxa"/>
            <w:tcBorders>
              <w:top w:val="nil"/>
              <w:left w:val="nil"/>
              <w:bottom w:val="single" w:sz="4" w:space="0" w:color="auto"/>
              <w:right w:val="single" w:sz="4" w:space="0" w:color="auto"/>
            </w:tcBorders>
            <w:shd w:val="clear" w:color="000000" w:fill="FFFFFF"/>
            <w:vAlign w:val="center"/>
            <w:hideMark/>
          </w:tcPr>
          <w:p w14:paraId="5279F85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4,29</w:t>
            </w:r>
          </w:p>
        </w:tc>
      </w:tr>
      <w:tr w:rsidR="001B6060" w:rsidRPr="001B6060" w14:paraId="750FAC2D" w14:textId="77777777" w:rsidTr="001B6060">
        <w:trPr>
          <w:trHeight w:val="20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35A80908"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H.  11. Identificación y registro de activos fijos (A). </w:t>
            </w:r>
          </w:p>
        </w:tc>
        <w:tc>
          <w:tcPr>
            <w:tcW w:w="2836" w:type="dxa"/>
            <w:tcBorders>
              <w:top w:val="nil"/>
              <w:left w:val="nil"/>
              <w:bottom w:val="single" w:sz="4" w:space="0" w:color="auto"/>
              <w:right w:val="single" w:sz="4" w:space="0" w:color="auto"/>
            </w:tcBorders>
            <w:shd w:val="clear" w:color="auto" w:fill="auto"/>
            <w:vAlign w:val="center"/>
            <w:hideMark/>
          </w:tcPr>
          <w:p w14:paraId="0A6F54F9"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En solicitud de información de la CGR de bajas de equipos informáticos siniestrados no se pudo obtener el costo histórico en el SIAF de la UPS Titán de 6 KVA placa No. 31850027 de la seccional Cauca; 4 impresoras láser y 2 monitores de la seccional Norte de Santander y un escáner de la seccional Cundinamarca, aunque en la solicitud se incluyó el respectivo número serial.</w:t>
            </w:r>
          </w:p>
        </w:tc>
        <w:tc>
          <w:tcPr>
            <w:tcW w:w="1700" w:type="dxa"/>
            <w:tcBorders>
              <w:top w:val="nil"/>
              <w:left w:val="nil"/>
              <w:bottom w:val="single" w:sz="4" w:space="0" w:color="auto"/>
              <w:right w:val="single" w:sz="4" w:space="0" w:color="auto"/>
            </w:tcBorders>
            <w:shd w:val="clear" w:color="auto" w:fill="auto"/>
            <w:vAlign w:val="center"/>
            <w:hideMark/>
          </w:tcPr>
          <w:p w14:paraId="6C1B787F"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Incumplimiento de las disposiciones para realizar el reporte de las novedades de bienes patrimoniales y transitorios por parte del área técnica</w:t>
            </w:r>
          </w:p>
        </w:tc>
        <w:tc>
          <w:tcPr>
            <w:tcW w:w="1559" w:type="dxa"/>
            <w:tcBorders>
              <w:top w:val="nil"/>
              <w:left w:val="nil"/>
              <w:bottom w:val="single" w:sz="4" w:space="0" w:color="auto"/>
              <w:right w:val="single" w:sz="4" w:space="0" w:color="auto"/>
            </w:tcBorders>
            <w:shd w:val="clear" w:color="000000" w:fill="FFFFFF"/>
            <w:vAlign w:val="center"/>
            <w:hideMark/>
          </w:tcPr>
          <w:p w14:paraId="74EA8822"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Articular las actividades relacionadas con los controles ejercidos por la Subdirección de las TIC sobre los bienes de tecnologías de la información con los procedimientos de registro del inventario de bienes de la FGN</w:t>
            </w:r>
          </w:p>
        </w:tc>
        <w:tc>
          <w:tcPr>
            <w:tcW w:w="1844" w:type="dxa"/>
            <w:tcBorders>
              <w:top w:val="nil"/>
              <w:left w:val="nil"/>
              <w:bottom w:val="single" w:sz="4" w:space="0" w:color="auto"/>
              <w:right w:val="single" w:sz="4" w:space="0" w:color="auto"/>
            </w:tcBorders>
            <w:shd w:val="clear" w:color="000000" w:fill="FFFFFF"/>
            <w:vAlign w:val="center"/>
            <w:hideMark/>
          </w:tcPr>
          <w:p w14:paraId="6475850C"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Realizar la capacitación sobre el registro y control de los bienes solicitada por la </w:t>
            </w:r>
            <w:proofErr w:type="spellStart"/>
            <w:r w:rsidRPr="001B6060">
              <w:rPr>
                <w:rFonts w:ascii="Arial" w:eastAsia="Times New Roman" w:hAnsi="Arial" w:cs="Arial"/>
                <w:sz w:val="16"/>
                <w:szCs w:val="16"/>
                <w:lang w:eastAsia="es-CO"/>
              </w:rPr>
              <w:t>SubTIC</w:t>
            </w:r>
            <w:proofErr w:type="spellEnd"/>
            <w:r w:rsidRPr="001B6060">
              <w:rPr>
                <w:rFonts w:ascii="Arial" w:eastAsia="Times New Roman" w:hAnsi="Arial" w:cs="Arial"/>
                <w:sz w:val="16"/>
                <w:szCs w:val="16"/>
                <w:lang w:eastAsia="es-CO"/>
              </w:rPr>
              <w:t>.</w:t>
            </w:r>
          </w:p>
        </w:tc>
        <w:tc>
          <w:tcPr>
            <w:tcW w:w="1011" w:type="dxa"/>
            <w:tcBorders>
              <w:top w:val="nil"/>
              <w:left w:val="nil"/>
              <w:bottom w:val="single" w:sz="4" w:space="0" w:color="auto"/>
              <w:right w:val="single" w:sz="4" w:space="0" w:color="auto"/>
            </w:tcBorders>
            <w:shd w:val="clear" w:color="000000" w:fill="FFFFFF"/>
            <w:vAlign w:val="center"/>
            <w:hideMark/>
          </w:tcPr>
          <w:p w14:paraId="0B7E119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Soporte de asistencia</w:t>
            </w:r>
          </w:p>
        </w:tc>
        <w:tc>
          <w:tcPr>
            <w:tcW w:w="1119" w:type="dxa"/>
            <w:tcBorders>
              <w:top w:val="nil"/>
              <w:left w:val="nil"/>
              <w:bottom w:val="single" w:sz="4" w:space="0" w:color="auto"/>
              <w:right w:val="single" w:sz="4" w:space="0" w:color="auto"/>
            </w:tcBorders>
            <w:shd w:val="clear" w:color="auto" w:fill="auto"/>
            <w:vAlign w:val="center"/>
            <w:hideMark/>
          </w:tcPr>
          <w:p w14:paraId="7E7503A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6A1AE46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2023-09-01</w:t>
            </w:r>
          </w:p>
        </w:tc>
        <w:tc>
          <w:tcPr>
            <w:tcW w:w="1134" w:type="dxa"/>
            <w:tcBorders>
              <w:top w:val="nil"/>
              <w:left w:val="nil"/>
              <w:bottom w:val="single" w:sz="4" w:space="0" w:color="auto"/>
              <w:right w:val="single" w:sz="4" w:space="0" w:color="auto"/>
            </w:tcBorders>
            <w:shd w:val="clear" w:color="auto" w:fill="auto"/>
            <w:vAlign w:val="center"/>
            <w:hideMark/>
          </w:tcPr>
          <w:p w14:paraId="24BA2F0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2023-10-31</w:t>
            </w:r>
          </w:p>
        </w:tc>
        <w:tc>
          <w:tcPr>
            <w:tcW w:w="1816" w:type="dxa"/>
            <w:tcBorders>
              <w:top w:val="nil"/>
              <w:left w:val="nil"/>
              <w:bottom w:val="single" w:sz="4" w:space="0" w:color="auto"/>
              <w:right w:val="single" w:sz="4" w:space="0" w:color="auto"/>
            </w:tcBorders>
            <w:shd w:val="clear" w:color="000000" w:fill="FFFFFF"/>
            <w:vAlign w:val="center"/>
            <w:hideMark/>
          </w:tcPr>
          <w:p w14:paraId="15ABA618"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8,57</w:t>
            </w:r>
          </w:p>
        </w:tc>
      </w:tr>
      <w:tr w:rsidR="001B6060" w:rsidRPr="001B6060" w14:paraId="2C1E4D58" w14:textId="77777777" w:rsidTr="001B6060">
        <w:trPr>
          <w:trHeight w:val="204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54D22CB"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H.  11. Identificación y registro de activos fijos (A). </w:t>
            </w:r>
          </w:p>
        </w:tc>
        <w:tc>
          <w:tcPr>
            <w:tcW w:w="2836" w:type="dxa"/>
            <w:tcBorders>
              <w:top w:val="nil"/>
              <w:left w:val="nil"/>
              <w:bottom w:val="single" w:sz="4" w:space="0" w:color="auto"/>
              <w:right w:val="single" w:sz="4" w:space="0" w:color="auto"/>
            </w:tcBorders>
            <w:shd w:val="clear" w:color="auto" w:fill="auto"/>
            <w:vAlign w:val="center"/>
            <w:hideMark/>
          </w:tcPr>
          <w:p w14:paraId="2B3CCE0B"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En solicitud de información de la CGR de bajas de equipos informáticos siniestrados no se pudo obtener el costo histórico en el SIAF de la UPS Titán de 6 KVA placa No. 31850027 de la seccional Cauca; 4 impresoras láser y 2 monitores de la seccional Norte de Santander y un escáner de la seccional Cundinamarca, aunque en la solicitud se incluyó el respectivo número serial.</w:t>
            </w:r>
          </w:p>
        </w:tc>
        <w:tc>
          <w:tcPr>
            <w:tcW w:w="1700" w:type="dxa"/>
            <w:tcBorders>
              <w:top w:val="nil"/>
              <w:left w:val="nil"/>
              <w:bottom w:val="single" w:sz="4" w:space="0" w:color="auto"/>
              <w:right w:val="single" w:sz="4" w:space="0" w:color="auto"/>
            </w:tcBorders>
            <w:shd w:val="clear" w:color="auto" w:fill="auto"/>
            <w:vAlign w:val="center"/>
            <w:hideMark/>
          </w:tcPr>
          <w:p w14:paraId="56B93F0E"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Incumplimiento de las disposiciones para realizar el reporte de las novedades de bienes patrimoniales y transitorios por parte del área técnica</w:t>
            </w:r>
          </w:p>
        </w:tc>
        <w:tc>
          <w:tcPr>
            <w:tcW w:w="1559" w:type="dxa"/>
            <w:tcBorders>
              <w:top w:val="nil"/>
              <w:left w:val="nil"/>
              <w:bottom w:val="single" w:sz="4" w:space="0" w:color="auto"/>
              <w:right w:val="single" w:sz="4" w:space="0" w:color="auto"/>
            </w:tcBorders>
            <w:shd w:val="clear" w:color="000000" w:fill="FFFFFF"/>
            <w:vAlign w:val="center"/>
            <w:hideMark/>
          </w:tcPr>
          <w:p w14:paraId="1BB4EBBB"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Articular las actividades relacionadas con los controles ejercidos por la Subdirección de las TIC sobre los bienes de tecnologías de la información con los procedimientos de registro del inventario de bienes de la FGN</w:t>
            </w:r>
          </w:p>
        </w:tc>
        <w:tc>
          <w:tcPr>
            <w:tcW w:w="1844" w:type="dxa"/>
            <w:tcBorders>
              <w:top w:val="nil"/>
              <w:left w:val="nil"/>
              <w:bottom w:val="single" w:sz="4" w:space="0" w:color="auto"/>
              <w:right w:val="single" w:sz="4" w:space="0" w:color="auto"/>
            </w:tcBorders>
            <w:shd w:val="clear" w:color="auto" w:fill="auto"/>
            <w:vAlign w:val="center"/>
            <w:hideMark/>
          </w:tcPr>
          <w:p w14:paraId="06C43124"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Realizar cruce entre la Sub. TICS y Sub. Bienes de los equipos tecnológicos reportados en el hallazgo, que permitan establecer la procedencia de los bienes no registrados en SIAF y el estado actual de los que sí están registrados: </w:t>
            </w:r>
          </w:p>
        </w:tc>
        <w:tc>
          <w:tcPr>
            <w:tcW w:w="1011" w:type="dxa"/>
            <w:tcBorders>
              <w:top w:val="nil"/>
              <w:left w:val="nil"/>
              <w:bottom w:val="single" w:sz="4" w:space="0" w:color="auto"/>
              <w:right w:val="single" w:sz="4" w:space="0" w:color="auto"/>
            </w:tcBorders>
            <w:shd w:val="clear" w:color="auto" w:fill="auto"/>
            <w:vAlign w:val="center"/>
            <w:hideMark/>
          </w:tcPr>
          <w:p w14:paraId="2F9DDB24"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Cruce de Información</w:t>
            </w:r>
          </w:p>
        </w:tc>
        <w:tc>
          <w:tcPr>
            <w:tcW w:w="1119" w:type="dxa"/>
            <w:tcBorders>
              <w:top w:val="nil"/>
              <w:left w:val="nil"/>
              <w:bottom w:val="single" w:sz="4" w:space="0" w:color="auto"/>
              <w:right w:val="single" w:sz="4" w:space="0" w:color="auto"/>
            </w:tcBorders>
            <w:shd w:val="clear" w:color="auto" w:fill="auto"/>
            <w:vAlign w:val="center"/>
            <w:hideMark/>
          </w:tcPr>
          <w:p w14:paraId="55ECBC3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w:t>
            </w:r>
          </w:p>
        </w:tc>
        <w:tc>
          <w:tcPr>
            <w:tcW w:w="992" w:type="dxa"/>
            <w:tcBorders>
              <w:top w:val="nil"/>
              <w:left w:val="nil"/>
              <w:bottom w:val="single" w:sz="4" w:space="0" w:color="auto"/>
              <w:right w:val="single" w:sz="4" w:space="0" w:color="auto"/>
            </w:tcBorders>
            <w:shd w:val="clear" w:color="auto" w:fill="auto"/>
            <w:vAlign w:val="center"/>
            <w:hideMark/>
          </w:tcPr>
          <w:p w14:paraId="75FE2090"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31341B31"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2023-12-31</w:t>
            </w:r>
          </w:p>
        </w:tc>
        <w:tc>
          <w:tcPr>
            <w:tcW w:w="1816" w:type="dxa"/>
            <w:tcBorders>
              <w:top w:val="nil"/>
              <w:left w:val="nil"/>
              <w:bottom w:val="single" w:sz="4" w:space="0" w:color="auto"/>
              <w:right w:val="single" w:sz="4" w:space="0" w:color="auto"/>
            </w:tcBorders>
            <w:shd w:val="clear" w:color="000000" w:fill="FFFFFF"/>
            <w:vAlign w:val="center"/>
            <w:hideMark/>
          </w:tcPr>
          <w:p w14:paraId="3703E96A"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21,71</w:t>
            </w:r>
          </w:p>
        </w:tc>
      </w:tr>
      <w:tr w:rsidR="001B6060" w:rsidRPr="001B6060" w14:paraId="05CE6082" w14:textId="77777777" w:rsidTr="001B6060">
        <w:trPr>
          <w:trHeight w:val="207"/>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189E789"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H.  11. Identificación y registro de activos fijos (A). </w:t>
            </w:r>
          </w:p>
        </w:tc>
        <w:tc>
          <w:tcPr>
            <w:tcW w:w="2836" w:type="dxa"/>
            <w:tcBorders>
              <w:top w:val="nil"/>
              <w:left w:val="nil"/>
              <w:bottom w:val="single" w:sz="4" w:space="0" w:color="auto"/>
              <w:right w:val="single" w:sz="4" w:space="0" w:color="auto"/>
            </w:tcBorders>
            <w:shd w:val="clear" w:color="auto" w:fill="auto"/>
            <w:vAlign w:val="center"/>
            <w:hideMark/>
          </w:tcPr>
          <w:p w14:paraId="42843FF2"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En solicitud de información de la CGR de bajas de equipos informáticos siniestrados no se pudo obtener el costo histórico en el SIAF de la UPS Titán de 6 KVA placa No. 31850027 de la seccional Cauca; 4 </w:t>
            </w:r>
            <w:r w:rsidRPr="001B6060">
              <w:rPr>
                <w:rFonts w:ascii="Arial" w:eastAsia="Times New Roman" w:hAnsi="Arial" w:cs="Arial"/>
                <w:sz w:val="16"/>
                <w:szCs w:val="16"/>
                <w:lang w:eastAsia="es-CO"/>
              </w:rPr>
              <w:lastRenderedPageBreak/>
              <w:t>impresoras láser y 2 monitores de la seccional Norte de Santander y un escáner de la seccional Cundinamarca, aunque en la solicitud se incluyó el respectivo número serial.</w:t>
            </w:r>
          </w:p>
        </w:tc>
        <w:tc>
          <w:tcPr>
            <w:tcW w:w="1700" w:type="dxa"/>
            <w:tcBorders>
              <w:top w:val="nil"/>
              <w:left w:val="nil"/>
              <w:bottom w:val="single" w:sz="4" w:space="0" w:color="auto"/>
              <w:right w:val="single" w:sz="4" w:space="0" w:color="auto"/>
            </w:tcBorders>
            <w:shd w:val="clear" w:color="auto" w:fill="auto"/>
            <w:vAlign w:val="center"/>
            <w:hideMark/>
          </w:tcPr>
          <w:p w14:paraId="66960433"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 xml:space="preserve">Incumplimiento de las disposiciones para realizar el reporte de las novedades de bienes patrimoniales </w:t>
            </w:r>
            <w:r w:rsidRPr="001B6060">
              <w:rPr>
                <w:rFonts w:ascii="Arial" w:eastAsia="Times New Roman" w:hAnsi="Arial" w:cs="Arial"/>
                <w:sz w:val="16"/>
                <w:szCs w:val="16"/>
                <w:lang w:eastAsia="es-CO"/>
              </w:rPr>
              <w:lastRenderedPageBreak/>
              <w:t>y transitorios por parte del área técnica</w:t>
            </w:r>
          </w:p>
        </w:tc>
        <w:tc>
          <w:tcPr>
            <w:tcW w:w="1559" w:type="dxa"/>
            <w:tcBorders>
              <w:top w:val="nil"/>
              <w:left w:val="nil"/>
              <w:bottom w:val="single" w:sz="4" w:space="0" w:color="auto"/>
              <w:right w:val="single" w:sz="4" w:space="0" w:color="auto"/>
            </w:tcBorders>
            <w:shd w:val="clear" w:color="000000" w:fill="FFFFFF"/>
            <w:vAlign w:val="center"/>
            <w:hideMark/>
          </w:tcPr>
          <w:p w14:paraId="242BF7D7"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 xml:space="preserve">Articular las actividades relacionadas con los controles ejercidos por la Subdirección de las </w:t>
            </w:r>
            <w:r w:rsidRPr="001B6060">
              <w:rPr>
                <w:rFonts w:ascii="Arial" w:eastAsia="Times New Roman" w:hAnsi="Arial" w:cs="Arial"/>
                <w:sz w:val="16"/>
                <w:szCs w:val="16"/>
                <w:lang w:eastAsia="es-CO"/>
              </w:rPr>
              <w:lastRenderedPageBreak/>
              <w:t>TIC sobre los bienes de tecnologías de la información con los procedimientos de registro del inventario de bienes de la FGN</w:t>
            </w:r>
          </w:p>
        </w:tc>
        <w:tc>
          <w:tcPr>
            <w:tcW w:w="1844" w:type="dxa"/>
            <w:tcBorders>
              <w:top w:val="nil"/>
              <w:left w:val="nil"/>
              <w:bottom w:val="single" w:sz="4" w:space="0" w:color="auto"/>
              <w:right w:val="single" w:sz="4" w:space="0" w:color="auto"/>
            </w:tcBorders>
            <w:shd w:val="clear" w:color="auto" w:fill="auto"/>
            <w:vAlign w:val="center"/>
            <w:hideMark/>
          </w:tcPr>
          <w:p w14:paraId="45CFA861"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 xml:space="preserve">Solicitar a la Subdirección de Bienes el listado de especialistas de tercer nivel con el fin de hacer la parametrización en la </w:t>
            </w:r>
            <w:r w:rsidRPr="001B6060">
              <w:rPr>
                <w:rFonts w:ascii="Arial" w:eastAsia="Times New Roman" w:hAnsi="Arial" w:cs="Arial"/>
                <w:sz w:val="16"/>
                <w:szCs w:val="16"/>
                <w:lang w:eastAsia="es-CO"/>
              </w:rPr>
              <w:lastRenderedPageBreak/>
              <w:t>herramienta mesa de servicios de los conceptos técnicos de hardware, garantías e insumos.</w:t>
            </w:r>
          </w:p>
        </w:tc>
        <w:tc>
          <w:tcPr>
            <w:tcW w:w="1011" w:type="dxa"/>
            <w:tcBorders>
              <w:top w:val="nil"/>
              <w:left w:val="nil"/>
              <w:bottom w:val="single" w:sz="4" w:space="0" w:color="auto"/>
              <w:right w:val="single" w:sz="4" w:space="0" w:color="auto"/>
            </w:tcBorders>
            <w:shd w:val="clear" w:color="auto" w:fill="auto"/>
            <w:vAlign w:val="center"/>
            <w:hideMark/>
          </w:tcPr>
          <w:p w14:paraId="4A7B70B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Parametrización en la herramienta</w:t>
            </w:r>
          </w:p>
        </w:tc>
        <w:tc>
          <w:tcPr>
            <w:tcW w:w="1119" w:type="dxa"/>
            <w:tcBorders>
              <w:top w:val="nil"/>
              <w:left w:val="nil"/>
              <w:bottom w:val="single" w:sz="4" w:space="0" w:color="auto"/>
              <w:right w:val="single" w:sz="4" w:space="0" w:color="auto"/>
            </w:tcBorders>
            <w:shd w:val="clear" w:color="auto" w:fill="auto"/>
            <w:vAlign w:val="center"/>
            <w:hideMark/>
          </w:tcPr>
          <w:p w14:paraId="7C9F463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05566961"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5F15723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2024-01-31</w:t>
            </w:r>
          </w:p>
        </w:tc>
        <w:tc>
          <w:tcPr>
            <w:tcW w:w="1816" w:type="dxa"/>
            <w:tcBorders>
              <w:top w:val="nil"/>
              <w:left w:val="nil"/>
              <w:bottom w:val="single" w:sz="4" w:space="0" w:color="auto"/>
              <w:right w:val="single" w:sz="4" w:space="0" w:color="auto"/>
            </w:tcBorders>
            <w:shd w:val="clear" w:color="000000" w:fill="FFFFFF"/>
            <w:vAlign w:val="center"/>
            <w:hideMark/>
          </w:tcPr>
          <w:p w14:paraId="54CADEB3"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26,14</w:t>
            </w:r>
          </w:p>
        </w:tc>
      </w:tr>
      <w:tr w:rsidR="001B6060" w:rsidRPr="001B6060" w14:paraId="5FC78E8C" w14:textId="77777777" w:rsidTr="001B6060">
        <w:trPr>
          <w:trHeight w:val="255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95908C8"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14. Impuesto predial unificado código 512001001 (A).</w:t>
            </w:r>
          </w:p>
        </w:tc>
        <w:tc>
          <w:tcPr>
            <w:tcW w:w="2836" w:type="dxa"/>
            <w:tcBorders>
              <w:top w:val="nil"/>
              <w:left w:val="nil"/>
              <w:bottom w:val="single" w:sz="4" w:space="0" w:color="auto"/>
              <w:right w:val="single" w:sz="4" w:space="0" w:color="auto"/>
            </w:tcBorders>
            <w:shd w:val="clear" w:color="auto" w:fill="auto"/>
            <w:vAlign w:val="center"/>
            <w:hideMark/>
          </w:tcPr>
          <w:p w14:paraId="47B2CB47" w14:textId="77777777" w:rsidR="001B6060" w:rsidRPr="001B6060" w:rsidRDefault="001B6060" w:rsidP="001B6060">
            <w:pPr>
              <w:spacing w:after="240"/>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La SRA Nororiental no está realizando el registro contable del pago del predial de acuerdo con los conceptos en las liquidaciones (</w:t>
            </w:r>
            <w:proofErr w:type="spellStart"/>
            <w:r w:rsidRPr="001B6060">
              <w:rPr>
                <w:rFonts w:ascii="Arial" w:eastAsia="Times New Roman" w:hAnsi="Arial" w:cs="Arial"/>
                <w:sz w:val="16"/>
                <w:szCs w:val="16"/>
                <w:lang w:eastAsia="es-CO"/>
              </w:rPr>
              <w:t>impto</w:t>
            </w:r>
            <w:proofErr w:type="spellEnd"/>
            <w:r w:rsidRPr="001B6060">
              <w:rPr>
                <w:rFonts w:ascii="Arial" w:eastAsia="Times New Roman" w:hAnsi="Arial" w:cs="Arial"/>
                <w:sz w:val="16"/>
                <w:szCs w:val="16"/>
                <w:lang w:eastAsia="es-CO"/>
              </w:rPr>
              <w:t xml:space="preserve"> predial, sobretasa ambiental, paz y salvos y estampillas), cargando todo a la </w:t>
            </w:r>
            <w:proofErr w:type="spellStart"/>
            <w:r w:rsidRPr="001B6060">
              <w:rPr>
                <w:rFonts w:ascii="Arial" w:eastAsia="Times New Roman" w:hAnsi="Arial" w:cs="Arial"/>
                <w:sz w:val="16"/>
                <w:szCs w:val="16"/>
                <w:lang w:eastAsia="es-CO"/>
              </w:rPr>
              <w:t>cta</w:t>
            </w:r>
            <w:proofErr w:type="spellEnd"/>
            <w:r w:rsidRPr="001B6060">
              <w:rPr>
                <w:rFonts w:ascii="Arial" w:eastAsia="Times New Roman" w:hAnsi="Arial" w:cs="Arial"/>
                <w:sz w:val="16"/>
                <w:szCs w:val="16"/>
                <w:lang w:eastAsia="es-CO"/>
              </w:rPr>
              <w:t xml:space="preserve"> del gasto del </w:t>
            </w:r>
            <w:proofErr w:type="spellStart"/>
            <w:r w:rsidRPr="001B6060">
              <w:rPr>
                <w:rFonts w:ascii="Arial" w:eastAsia="Times New Roman" w:hAnsi="Arial" w:cs="Arial"/>
                <w:sz w:val="16"/>
                <w:szCs w:val="16"/>
                <w:lang w:eastAsia="es-CO"/>
              </w:rPr>
              <w:t>impto</w:t>
            </w:r>
            <w:proofErr w:type="spellEnd"/>
            <w:r w:rsidRPr="001B6060">
              <w:rPr>
                <w:rFonts w:ascii="Arial" w:eastAsia="Times New Roman" w:hAnsi="Arial" w:cs="Arial"/>
                <w:sz w:val="16"/>
                <w:szCs w:val="16"/>
                <w:lang w:eastAsia="es-CO"/>
              </w:rPr>
              <w:t xml:space="preserve"> predial, aunado al no pago de la totalidad de los bienes a su nombre, y en casos que es compartido dicho pago se realiza extemporáneamente.</w:t>
            </w:r>
          </w:p>
        </w:tc>
        <w:tc>
          <w:tcPr>
            <w:tcW w:w="1700" w:type="dxa"/>
            <w:tcBorders>
              <w:top w:val="nil"/>
              <w:left w:val="nil"/>
              <w:bottom w:val="single" w:sz="4" w:space="0" w:color="auto"/>
              <w:right w:val="single" w:sz="4" w:space="0" w:color="auto"/>
            </w:tcBorders>
            <w:shd w:val="clear" w:color="auto" w:fill="auto"/>
            <w:vAlign w:val="center"/>
            <w:hideMark/>
          </w:tcPr>
          <w:p w14:paraId="312D4ED7"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de control interno contable, así como deficiencias en la aplicación de los controles para el pago de impuestos.</w:t>
            </w:r>
          </w:p>
        </w:tc>
        <w:tc>
          <w:tcPr>
            <w:tcW w:w="1559" w:type="dxa"/>
            <w:tcBorders>
              <w:top w:val="nil"/>
              <w:left w:val="nil"/>
              <w:bottom w:val="single" w:sz="4" w:space="0" w:color="auto"/>
              <w:right w:val="single" w:sz="4" w:space="0" w:color="auto"/>
            </w:tcBorders>
            <w:shd w:val="clear" w:color="000000" w:fill="FFFFFF"/>
            <w:vAlign w:val="center"/>
            <w:hideMark/>
          </w:tcPr>
          <w:p w14:paraId="32366519" w14:textId="26A34D8D" w:rsidR="001B6060" w:rsidRPr="001B6060" w:rsidRDefault="0000184D"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Sensibilización política</w:t>
            </w:r>
            <w:r w:rsidR="001B6060" w:rsidRPr="001B6060">
              <w:rPr>
                <w:rFonts w:ascii="Arial" w:eastAsia="Times New Roman" w:hAnsi="Arial" w:cs="Arial"/>
                <w:sz w:val="16"/>
                <w:szCs w:val="16"/>
                <w:lang w:eastAsia="es-CO"/>
              </w:rPr>
              <w:t xml:space="preserve"> de austeridad, eficiencia y efectividad en el uso de los recursos públicos, específicamente en el pago de servicios públicos, impuestos, sanciones y tasas moratoria por parte de la </w:t>
            </w:r>
            <w:r w:rsidRPr="001B6060">
              <w:rPr>
                <w:rFonts w:ascii="Arial" w:eastAsia="Times New Roman" w:hAnsi="Arial" w:cs="Arial"/>
                <w:sz w:val="16"/>
                <w:szCs w:val="16"/>
                <w:lang w:eastAsia="es-CO"/>
              </w:rPr>
              <w:t>Subdirección</w:t>
            </w:r>
            <w:r w:rsidR="001B6060" w:rsidRPr="001B6060">
              <w:rPr>
                <w:rFonts w:ascii="Arial" w:eastAsia="Times New Roman" w:hAnsi="Arial" w:cs="Arial"/>
                <w:sz w:val="16"/>
                <w:szCs w:val="16"/>
                <w:lang w:eastAsia="es-CO"/>
              </w:rPr>
              <w:t xml:space="preserve"> Financiera</w:t>
            </w:r>
          </w:p>
        </w:tc>
        <w:tc>
          <w:tcPr>
            <w:tcW w:w="1844" w:type="dxa"/>
            <w:tcBorders>
              <w:top w:val="nil"/>
              <w:left w:val="nil"/>
              <w:bottom w:val="single" w:sz="4" w:space="0" w:color="auto"/>
              <w:right w:val="single" w:sz="4" w:space="0" w:color="auto"/>
            </w:tcBorders>
            <w:shd w:val="clear" w:color="auto" w:fill="auto"/>
            <w:vAlign w:val="center"/>
            <w:hideMark/>
          </w:tcPr>
          <w:p w14:paraId="6BD1457F" w14:textId="1B06F9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Resocialización </w:t>
            </w:r>
            <w:r w:rsidR="0000184D" w:rsidRPr="001B6060">
              <w:rPr>
                <w:rFonts w:ascii="Arial" w:eastAsia="Times New Roman" w:hAnsi="Arial" w:cs="Arial"/>
                <w:sz w:val="16"/>
                <w:szCs w:val="16"/>
                <w:lang w:eastAsia="es-CO"/>
              </w:rPr>
              <w:t>de la</w:t>
            </w:r>
            <w:r w:rsidRPr="001B6060">
              <w:rPr>
                <w:rFonts w:ascii="Arial" w:eastAsia="Times New Roman" w:hAnsi="Arial" w:cs="Arial"/>
                <w:sz w:val="16"/>
                <w:szCs w:val="16"/>
                <w:lang w:eastAsia="es-CO"/>
              </w:rPr>
              <w:t xml:space="preserve"> circular 0005 de enero 26 de 2001: "Radicación factura por suministro de bienes o prestación de servicios"</w:t>
            </w:r>
          </w:p>
        </w:tc>
        <w:tc>
          <w:tcPr>
            <w:tcW w:w="1011" w:type="dxa"/>
            <w:tcBorders>
              <w:top w:val="nil"/>
              <w:left w:val="nil"/>
              <w:bottom w:val="single" w:sz="4" w:space="0" w:color="auto"/>
              <w:right w:val="single" w:sz="4" w:space="0" w:color="auto"/>
            </w:tcBorders>
            <w:shd w:val="clear" w:color="auto" w:fill="auto"/>
            <w:vAlign w:val="center"/>
            <w:hideMark/>
          </w:tcPr>
          <w:p w14:paraId="56641C0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Correo electrónico</w:t>
            </w:r>
          </w:p>
        </w:tc>
        <w:tc>
          <w:tcPr>
            <w:tcW w:w="1119" w:type="dxa"/>
            <w:tcBorders>
              <w:top w:val="nil"/>
              <w:left w:val="nil"/>
              <w:bottom w:val="single" w:sz="4" w:space="0" w:color="auto"/>
              <w:right w:val="single" w:sz="4" w:space="0" w:color="auto"/>
            </w:tcBorders>
            <w:shd w:val="clear" w:color="auto" w:fill="auto"/>
            <w:vAlign w:val="center"/>
            <w:hideMark/>
          </w:tcPr>
          <w:p w14:paraId="59946BB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2DF4711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15A4637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2023-12-31</w:t>
            </w:r>
          </w:p>
        </w:tc>
        <w:tc>
          <w:tcPr>
            <w:tcW w:w="1816" w:type="dxa"/>
            <w:tcBorders>
              <w:top w:val="nil"/>
              <w:left w:val="nil"/>
              <w:bottom w:val="single" w:sz="4" w:space="0" w:color="auto"/>
              <w:right w:val="single" w:sz="4" w:space="0" w:color="auto"/>
            </w:tcBorders>
            <w:shd w:val="clear" w:color="000000" w:fill="FFFFFF"/>
            <w:vAlign w:val="center"/>
            <w:hideMark/>
          </w:tcPr>
          <w:p w14:paraId="5E89993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21,71</w:t>
            </w:r>
          </w:p>
        </w:tc>
      </w:tr>
      <w:tr w:rsidR="001B6060" w:rsidRPr="001B6060" w14:paraId="76B7EF86" w14:textId="77777777" w:rsidTr="001B6060">
        <w:trPr>
          <w:trHeight w:val="2550"/>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5B47A36"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14. Impuesto predial unificado código 512001001 (A).</w:t>
            </w:r>
          </w:p>
        </w:tc>
        <w:tc>
          <w:tcPr>
            <w:tcW w:w="2836" w:type="dxa"/>
            <w:tcBorders>
              <w:top w:val="nil"/>
              <w:left w:val="nil"/>
              <w:bottom w:val="single" w:sz="4" w:space="0" w:color="auto"/>
              <w:right w:val="single" w:sz="4" w:space="0" w:color="auto"/>
            </w:tcBorders>
            <w:shd w:val="clear" w:color="auto" w:fill="auto"/>
            <w:vAlign w:val="center"/>
            <w:hideMark/>
          </w:tcPr>
          <w:p w14:paraId="77C12BED" w14:textId="77777777" w:rsidR="001B6060" w:rsidRPr="001B6060" w:rsidRDefault="001B6060" w:rsidP="001B6060">
            <w:pPr>
              <w:spacing w:after="240"/>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La SRA Nororiental no está realizando el registro contable del pago del predial de acuerdo con los conceptos en las liquidaciones (</w:t>
            </w:r>
            <w:proofErr w:type="spellStart"/>
            <w:r w:rsidRPr="001B6060">
              <w:rPr>
                <w:rFonts w:ascii="Arial" w:eastAsia="Times New Roman" w:hAnsi="Arial" w:cs="Arial"/>
                <w:sz w:val="16"/>
                <w:szCs w:val="16"/>
                <w:lang w:eastAsia="es-CO"/>
              </w:rPr>
              <w:t>impto</w:t>
            </w:r>
            <w:proofErr w:type="spellEnd"/>
            <w:r w:rsidRPr="001B6060">
              <w:rPr>
                <w:rFonts w:ascii="Arial" w:eastAsia="Times New Roman" w:hAnsi="Arial" w:cs="Arial"/>
                <w:sz w:val="16"/>
                <w:szCs w:val="16"/>
                <w:lang w:eastAsia="es-CO"/>
              </w:rPr>
              <w:t xml:space="preserve"> predial, sobretasa ambiental, paz y salvos y estampillas), cargando todo a la </w:t>
            </w:r>
            <w:proofErr w:type="spellStart"/>
            <w:r w:rsidRPr="001B6060">
              <w:rPr>
                <w:rFonts w:ascii="Arial" w:eastAsia="Times New Roman" w:hAnsi="Arial" w:cs="Arial"/>
                <w:sz w:val="16"/>
                <w:szCs w:val="16"/>
                <w:lang w:eastAsia="es-CO"/>
              </w:rPr>
              <w:t>cta</w:t>
            </w:r>
            <w:proofErr w:type="spellEnd"/>
            <w:r w:rsidRPr="001B6060">
              <w:rPr>
                <w:rFonts w:ascii="Arial" w:eastAsia="Times New Roman" w:hAnsi="Arial" w:cs="Arial"/>
                <w:sz w:val="16"/>
                <w:szCs w:val="16"/>
                <w:lang w:eastAsia="es-CO"/>
              </w:rPr>
              <w:t xml:space="preserve"> del gasto del </w:t>
            </w:r>
            <w:proofErr w:type="spellStart"/>
            <w:r w:rsidRPr="001B6060">
              <w:rPr>
                <w:rFonts w:ascii="Arial" w:eastAsia="Times New Roman" w:hAnsi="Arial" w:cs="Arial"/>
                <w:sz w:val="16"/>
                <w:szCs w:val="16"/>
                <w:lang w:eastAsia="es-CO"/>
              </w:rPr>
              <w:t>impto</w:t>
            </w:r>
            <w:proofErr w:type="spellEnd"/>
            <w:r w:rsidRPr="001B6060">
              <w:rPr>
                <w:rFonts w:ascii="Arial" w:eastAsia="Times New Roman" w:hAnsi="Arial" w:cs="Arial"/>
                <w:sz w:val="16"/>
                <w:szCs w:val="16"/>
                <w:lang w:eastAsia="es-CO"/>
              </w:rPr>
              <w:t xml:space="preserve"> predial, aunado al no pago de la totalidad de los bienes a su nombre, y en casos que es compartido dicho pago se realiza extemporáneamente.</w:t>
            </w:r>
          </w:p>
        </w:tc>
        <w:tc>
          <w:tcPr>
            <w:tcW w:w="1700" w:type="dxa"/>
            <w:tcBorders>
              <w:top w:val="nil"/>
              <w:left w:val="nil"/>
              <w:bottom w:val="single" w:sz="4" w:space="0" w:color="auto"/>
              <w:right w:val="single" w:sz="4" w:space="0" w:color="auto"/>
            </w:tcBorders>
            <w:shd w:val="clear" w:color="auto" w:fill="auto"/>
            <w:vAlign w:val="center"/>
            <w:hideMark/>
          </w:tcPr>
          <w:p w14:paraId="48BF19C9"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de control interno contable, así como deficiencias en la aplicación de los controles para el pago de impuestos.</w:t>
            </w:r>
          </w:p>
        </w:tc>
        <w:tc>
          <w:tcPr>
            <w:tcW w:w="1559" w:type="dxa"/>
            <w:tcBorders>
              <w:top w:val="nil"/>
              <w:left w:val="nil"/>
              <w:bottom w:val="single" w:sz="4" w:space="0" w:color="auto"/>
              <w:right w:val="single" w:sz="4" w:space="0" w:color="auto"/>
            </w:tcBorders>
            <w:shd w:val="clear" w:color="000000" w:fill="FFFFFF"/>
            <w:vAlign w:val="center"/>
            <w:hideMark/>
          </w:tcPr>
          <w:p w14:paraId="664D0311" w14:textId="50417F7A" w:rsidR="001B6060" w:rsidRPr="001B6060" w:rsidRDefault="0000184D"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Sensibilización política</w:t>
            </w:r>
            <w:r w:rsidR="001B6060" w:rsidRPr="001B6060">
              <w:rPr>
                <w:rFonts w:ascii="Arial" w:eastAsia="Times New Roman" w:hAnsi="Arial" w:cs="Arial"/>
                <w:sz w:val="16"/>
                <w:szCs w:val="16"/>
                <w:lang w:eastAsia="es-CO"/>
              </w:rPr>
              <w:t xml:space="preserve"> de austeridad, eficiencia y efectividad en el uso de los recursos públicos, específicamente en el pago de servicios públicos, impuestos, sanciones y tasas moratoria por parte de la </w:t>
            </w:r>
            <w:r w:rsidRPr="001B6060">
              <w:rPr>
                <w:rFonts w:ascii="Arial" w:eastAsia="Times New Roman" w:hAnsi="Arial" w:cs="Arial"/>
                <w:sz w:val="16"/>
                <w:szCs w:val="16"/>
                <w:lang w:eastAsia="es-CO"/>
              </w:rPr>
              <w:t>Subdirección</w:t>
            </w:r>
            <w:r w:rsidR="001B6060" w:rsidRPr="001B6060">
              <w:rPr>
                <w:rFonts w:ascii="Arial" w:eastAsia="Times New Roman" w:hAnsi="Arial" w:cs="Arial"/>
                <w:sz w:val="16"/>
                <w:szCs w:val="16"/>
                <w:lang w:eastAsia="es-CO"/>
              </w:rPr>
              <w:t xml:space="preserve"> Financiera</w:t>
            </w:r>
          </w:p>
        </w:tc>
        <w:tc>
          <w:tcPr>
            <w:tcW w:w="1844" w:type="dxa"/>
            <w:tcBorders>
              <w:top w:val="nil"/>
              <w:left w:val="nil"/>
              <w:bottom w:val="single" w:sz="4" w:space="0" w:color="auto"/>
              <w:right w:val="single" w:sz="4" w:space="0" w:color="auto"/>
            </w:tcBorders>
            <w:shd w:val="clear" w:color="auto" w:fill="auto"/>
            <w:vAlign w:val="center"/>
            <w:hideMark/>
          </w:tcPr>
          <w:p w14:paraId="337B9538" w14:textId="15F2C250"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Emitir circular específica para el pago de impuestos y </w:t>
            </w:r>
            <w:r w:rsidR="0000184D" w:rsidRPr="001B6060">
              <w:rPr>
                <w:rFonts w:ascii="Arial" w:eastAsia="Times New Roman" w:hAnsi="Arial" w:cs="Arial"/>
                <w:sz w:val="16"/>
                <w:szCs w:val="16"/>
                <w:lang w:eastAsia="es-CO"/>
              </w:rPr>
              <w:t>valorización</w:t>
            </w:r>
            <w:r w:rsidRPr="001B6060">
              <w:rPr>
                <w:rFonts w:ascii="Arial" w:eastAsia="Times New Roman" w:hAnsi="Arial" w:cs="Arial"/>
                <w:sz w:val="16"/>
                <w:szCs w:val="16"/>
                <w:lang w:eastAsia="es-CO"/>
              </w:rPr>
              <w:t xml:space="preserve"> de inmuebles.</w:t>
            </w:r>
          </w:p>
        </w:tc>
        <w:tc>
          <w:tcPr>
            <w:tcW w:w="1011" w:type="dxa"/>
            <w:tcBorders>
              <w:top w:val="nil"/>
              <w:left w:val="nil"/>
              <w:bottom w:val="single" w:sz="4" w:space="0" w:color="auto"/>
              <w:right w:val="single" w:sz="4" w:space="0" w:color="auto"/>
            </w:tcBorders>
            <w:shd w:val="clear" w:color="auto" w:fill="auto"/>
            <w:vAlign w:val="center"/>
            <w:hideMark/>
          </w:tcPr>
          <w:p w14:paraId="27184A5B"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Memorando - circular - documento</w:t>
            </w:r>
          </w:p>
        </w:tc>
        <w:tc>
          <w:tcPr>
            <w:tcW w:w="1119" w:type="dxa"/>
            <w:tcBorders>
              <w:top w:val="nil"/>
              <w:left w:val="nil"/>
              <w:bottom w:val="single" w:sz="4" w:space="0" w:color="auto"/>
              <w:right w:val="single" w:sz="4" w:space="0" w:color="auto"/>
            </w:tcBorders>
            <w:shd w:val="clear" w:color="auto" w:fill="auto"/>
            <w:vAlign w:val="center"/>
            <w:hideMark/>
          </w:tcPr>
          <w:p w14:paraId="69E943B2"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1</w:t>
            </w:r>
          </w:p>
        </w:tc>
        <w:tc>
          <w:tcPr>
            <w:tcW w:w="992" w:type="dxa"/>
            <w:tcBorders>
              <w:top w:val="nil"/>
              <w:left w:val="nil"/>
              <w:bottom w:val="single" w:sz="4" w:space="0" w:color="auto"/>
              <w:right w:val="single" w:sz="4" w:space="0" w:color="auto"/>
            </w:tcBorders>
            <w:shd w:val="clear" w:color="auto" w:fill="auto"/>
            <w:vAlign w:val="center"/>
            <w:hideMark/>
          </w:tcPr>
          <w:p w14:paraId="34D6FE2C"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36E1B726"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2024-03-31</w:t>
            </w:r>
          </w:p>
        </w:tc>
        <w:tc>
          <w:tcPr>
            <w:tcW w:w="1816" w:type="dxa"/>
            <w:tcBorders>
              <w:top w:val="nil"/>
              <w:left w:val="nil"/>
              <w:bottom w:val="single" w:sz="4" w:space="0" w:color="auto"/>
              <w:right w:val="single" w:sz="4" w:space="0" w:color="auto"/>
            </w:tcBorders>
            <w:shd w:val="clear" w:color="000000" w:fill="FFFFFF"/>
            <w:vAlign w:val="center"/>
            <w:hideMark/>
          </w:tcPr>
          <w:p w14:paraId="0C3C0C7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34,71</w:t>
            </w:r>
          </w:p>
        </w:tc>
      </w:tr>
      <w:tr w:rsidR="001B6060" w:rsidRPr="001B6060" w14:paraId="5A582FDA" w14:textId="77777777" w:rsidTr="001B6060">
        <w:trPr>
          <w:trHeight w:val="349"/>
          <w:jc w:val="center"/>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96CD8E6"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H.  14. Impuesto predial unificado código 512001001 (A).</w:t>
            </w:r>
          </w:p>
        </w:tc>
        <w:tc>
          <w:tcPr>
            <w:tcW w:w="2836" w:type="dxa"/>
            <w:tcBorders>
              <w:top w:val="nil"/>
              <w:left w:val="nil"/>
              <w:bottom w:val="single" w:sz="4" w:space="0" w:color="auto"/>
              <w:right w:val="single" w:sz="4" w:space="0" w:color="auto"/>
            </w:tcBorders>
            <w:shd w:val="clear" w:color="auto" w:fill="auto"/>
            <w:vAlign w:val="center"/>
            <w:hideMark/>
          </w:tcPr>
          <w:p w14:paraId="2FC9B4B7" w14:textId="77777777" w:rsidR="001B6060" w:rsidRPr="001B6060" w:rsidRDefault="001B6060" w:rsidP="001B6060">
            <w:pPr>
              <w:spacing w:after="240"/>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La SRA Nororiental no está realizando el registro contable del pago del predial de acuerdo con los conceptos en las liquidaciones (</w:t>
            </w:r>
            <w:proofErr w:type="spellStart"/>
            <w:r w:rsidRPr="001B6060">
              <w:rPr>
                <w:rFonts w:ascii="Arial" w:eastAsia="Times New Roman" w:hAnsi="Arial" w:cs="Arial"/>
                <w:sz w:val="16"/>
                <w:szCs w:val="16"/>
                <w:lang w:eastAsia="es-CO"/>
              </w:rPr>
              <w:t>impto</w:t>
            </w:r>
            <w:proofErr w:type="spellEnd"/>
            <w:r w:rsidRPr="001B6060">
              <w:rPr>
                <w:rFonts w:ascii="Arial" w:eastAsia="Times New Roman" w:hAnsi="Arial" w:cs="Arial"/>
                <w:sz w:val="16"/>
                <w:szCs w:val="16"/>
                <w:lang w:eastAsia="es-CO"/>
              </w:rPr>
              <w:t xml:space="preserve"> predial, sobretasa ambiental, paz y salvos y estampillas), cargando todo a la </w:t>
            </w:r>
            <w:proofErr w:type="spellStart"/>
            <w:r w:rsidRPr="001B6060">
              <w:rPr>
                <w:rFonts w:ascii="Arial" w:eastAsia="Times New Roman" w:hAnsi="Arial" w:cs="Arial"/>
                <w:sz w:val="16"/>
                <w:szCs w:val="16"/>
                <w:lang w:eastAsia="es-CO"/>
              </w:rPr>
              <w:t>cta</w:t>
            </w:r>
            <w:proofErr w:type="spellEnd"/>
            <w:r w:rsidRPr="001B6060">
              <w:rPr>
                <w:rFonts w:ascii="Arial" w:eastAsia="Times New Roman" w:hAnsi="Arial" w:cs="Arial"/>
                <w:sz w:val="16"/>
                <w:szCs w:val="16"/>
                <w:lang w:eastAsia="es-CO"/>
              </w:rPr>
              <w:t xml:space="preserve"> del gasto del </w:t>
            </w:r>
            <w:proofErr w:type="spellStart"/>
            <w:r w:rsidRPr="001B6060">
              <w:rPr>
                <w:rFonts w:ascii="Arial" w:eastAsia="Times New Roman" w:hAnsi="Arial" w:cs="Arial"/>
                <w:sz w:val="16"/>
                <w:szCs w:val="16"/>
                <w:lang w:eastAsia="es-CO"/>
              </w:rPr>
              <w:t>impto</w:t>
            </w:r>
            <w:proofErr w:type="spellEnd"/>
            <w:r w:rsidRPr="001B6060">
              <w:rPr>
                <w:rFonts w:ascii="Arial" w:eastAsia="Times New Roman" w:hAnsi="Arial" w:cs="Arial"/>
                <w:sz w:val="16"/>
                <w:szCs w:val="16"/>
                <w:lang w:eastAsia="es-CO"/>
              </w:rPr>
              <w:t xml:space="preserve"> predial, aunado al no pago de la totalidad de los bienes a su nombre, y en casos que es compartido dicho pago se realiza extemporáneamente.</w:t>
            </w:r>
          </w:p>
        </w:tc>
        <w:tc>
          <w:tcPr>
            <w:tcW w:w="1700" w:type="dxa"/>
            <w:tcBorders>
              <w:top w:val="nil"/>
              <w:left w:val="nil"/>
              <w:bottom w:val="single" w:sz="4" w:space="0" w:color="auto"/>
              <w:right w:val="single" w:sz="4" w:space="0" w:color="auto"/>
            </w:tcBorders>
            <w:shd w:val="clear" w:color="auto" w:fill="auto"/>
            <w:vAlign w:val="center"/>
            <w:hideMark/>
          </w:tcPr>
          <w:p w14:paraId="68269D0E" w14:textId="77777777"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Debilidades de control interno contable, así como deficiencias en la aplicación de los controles para el pago de impuestos.</w:t>
            </w:r>
          </w:p>
        </w:tc>
        <w:tc>
          <w:tcPr>
            <w:tcW w:w="1559" w:type="dxa"/>
            <w:tcBorders>
              <w:top w:val="nil"/>
              <w:left w:val="nil"/>
              <w:bottom w:val="single" w:sz="4" w:space="0" w:color="auto"/>
              <w:right w:val="single" w:sz="4" w:space="0" w:color="auto"/>
            </w:tcBorders>
            <w:shd w:val="clear" w:color="auto" w:fill="auto"/>
            <w:vAlign w:val="center"/>
            <w:hideMark/>
          </w:tcPr>
          <w:p w14:paraId="2C64145A" w14:textId="6F4B81C3"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br/>
              <w:t xml:space="preserve">Sensibilizar la gestión </w:t>
            </w:r>
            <w:r w:rsidR="0000184D" w:rsidRPr="001B6060">
              <w:rPr>
                <w:rFonts w:ascii="Arial" w:eastAsia="Times New Roman" w:hAnsi="Arial" w:cs="Arial"/>
                <w:sz w:val="16"/>
                <w:szCs w:val="16"/>
                <w:lang w:eastAsia="es-CO"/>
              </w:rPr>
              <w:t>para los</w:t>
            </w:r>
            <w:r w:rsidRPr="001B6060">
              <w:rPr>
                <w:rFonts w:ascii="Arial" w:eastAsia="Times New Roman" w:hAnsi="Arial" w:cs="Arial"/>
                <w:sz w:val="16"/>
                <w:szCs w:val="16"/>
                <w:lang w:eastAsia="es-CO"/>
              </w:rPr>
              <w:t xml:space="preserve"> tramites </w:t>
            </w:r>
            <w:r w:rsidR="0000184D" w:rsidRPr="001B6060">
              <w:rPr>
                <w:rFonts w:ascii="Arial" w:eastAsia="Times New Roman" w:hAnsi="Arial" w:cs="Arial"/>
                <w:sz w:val="16"/>
                <w:szCs w:val="16"/>
                <w:lang w:eastAsia="es-CO"/>
              </w:rPr>
              <w:t>de los</w:t>
            </w:r>
            <w:r w:rsidRPr="001B6060">
              <w:rPr>
                <w:rFonts w:ascii="Arial" w:eastAsia="Times New Roman" w:hAnsi="Arial" w:cs="Arial"/>
                <w:sz w:val="16"/>
                <w:szCs w:val="16"/>
                <w:lang w:eastAsia="es-CO"/>
              </w:rPr>
              <w:t xml:space="preserve"> pagos </w:t>
            </w:r>
            <w:r w:rsidR="0000184D" w:rsidRPr="001B6060">
              <w:rPr>
                <w:rFonts w:ascii="Arial" w:eastAsia="Times New Roman" w:hAnsi="Arial" w:cs="Arial"/>
                <w:sz w:val="16"/>
                <w:szCs w:val="16"/>
                <w:lang w:eastAsia="es-CO"/>
              </w:rPr>
              <w:t xml:space="preserve">de </w:t>
            </w:r>
            <w:proofErr w:type="gramStart"/>
            <w:r w:rsidR="0000184D" w:rsidRPr="001B6060">
              <w:rPr>
                <w:rFonts w:ascii="Arial" w:eastAsia="Times New Roman" w:hAnsi="Arial" w:cs="Arial"/>
                <w:sz w:val="16"/>
                <w:szCs w:val="16"/>
                <w:lang w:eastAsia="es-CO"/>
              </w:rPr>
              <w:t>servicios</w:t>
            </w:r>
            <w:r w:rsidRPr="001B6060">
              <w:rPr>
                <w:rFonts w:ascii="Arial" w:eastAsia="Times New Roman" w:hAnsi="Arial" w:cs="Arial"/>
                <w:sz w:val="16"/>
                <w:szCs w:val="16"/>
                <w:lang w:eastAsia="es-CO"/>
              </w:rPr>
              <w:t>,  impuestos</w:t>
            </w:r>
            <w:proofErr w:type="gramEnd"/>
            <w:r w:rsidRPr="001B6060">
              <w:rPr>
                <w:rFonts w:ascii="Arial" w:eastAsia="Times New Roman" w:hAnsi="Arial" w:cs="Arial"/>
                <w:sz w:val="16"/>
                <w:szCs w:val="16"/>
                <w:lang w:eastAsia="es-CO"/>
              </w:rPr>
              <w:t xml:space="preserve"> de los inmuebles. </w:t>
            </w:r>
          </w:p>
        </w:tc>
        <w:tc>
          <w:tcPr>
            <w:tcW w:w="1844" w:type="dxa"/>
            <w:tcBorders>
              <w:top w:val="nil"/>
              <w:left w:val="nil"/>
              <w:bottom w:val="single" w:sz="4" w:space="0" w:color="auto"/>
              <w:right w:val="single" w:sz="4" w:space="0" w:color="auto"/>
            </w:tcBorders>
            <w:shd w:val="clear" w:color="auto" w:fill="auto"/>
            <w:vAlign w:val="center"/>
            <w:hideMark/>
          </w:tcPr>
          <w:p w14:paraId="166D9A9D" w14:textId="0EF792E6" w:rsidR="001B6060" w:rsidRPr="001B6060" w:rsidRDefault="001B6060" w:rsidP="001B6060">
            <w:pPr>
              <w:jc w:val="both"/>
              <w:rPr>
                <w:rFonts w:ascii="Arial" w:eastAsia="Times New Roman" w:hAnsi="Arial" w:cs="Arial"/>
                <w:sz w:val="16"/>
                <w:szCs w:val="16"/>
                <w:lang w:eastAsia="es-CO"/>
              </w:rPr>
            </w:pPr>
            <w:r w:rsidRPr="001B6060">
              <w:rPr>
                <w:rFonts w:ascii="Arial" w:eastAsia="Times New Roman" w:hAnsi="Arial" w:cs="Arial"/>
                <w:sz w:val="16"/>
                <w:szCs w:val="16"/>
                <w:lang w:eastAsia="es-CO"/>
              </w:rPr>
              <w:t xml:space="preserve">Realizar Sensibilización a los responsables de gestionar la información para los pagos </w:t>
            </w:r>
            <w:r w:rsidR="0000184D" w:rsidRPr="001B6060">
              <w:rPr>
                <w:rFonts w:ascii="Arial" w:eastAsia="Times New Roman" w:hAnsi="Arial" w:cs="Arial"/>
                <w:sz w:val="16"/>
                <w:szCs w:val="16"/>
                <w:lang w:eastAsia="es-CO"/>
              </w:rPr>
              <w:t>de servicios</w:t>
            </w:r>
            <w:r w:rsidRPr="001B6060">
              <w:rPr>
                <w:rFonts w:ascii="Arial" w:eastAsia="Times New Roman" w:hAnsi="Arial" w:cs="Arial"/>
                <w:sz w:val="16"/>
                <w:szCs w:val="16"/>
                <w:lang w:eastAsia="es-CO"/>
              </w:rPr>
              <w:t xml:space="preserve"> públicos e impuestos, la guía para el </w:t>
            </w:r>
            <w:r w:rsidR="0000184D" w:rsidRPr="001B6060">
              <w:rPr>
                <w:rFonts w:ascii="Arial" w:eastAsia="Times New Roman" w:hAnsi="Arial" w:cs="Arial"/>
                <w:sz w:val="16"/>
                <w:szCs w:val="16"/>
                <w:lang w:eastAsia="es-CO"/>
              </w:rPr>
              <w:t>trámite</w:t>
            </w:r>
            <w:r w:rsidRPr="001B6060">
              <w:rPr>
                <w:rFonts w:ascii="Arial" w:eastAsia="Times New Roman" w:hAnsi="Arial" w:cs="Arial"/>
                <w:sz w:val="16"/>
                <w:szCs w:val="16"/>
                <w:lang w:eastAsia="es-CO"/>
              </w:rPr>
              <w:t xml:space="preserve"> de pago de servicios, impuestos y valorización de </w:t>
            </w:r>
            <w:r w:rsidR="0000184D" w:rsidRPr="001B6060">
              <w:rPr>
                <w:rFonts w:ascii="Arial" w:eastAsia="Times New Roman" w:hAnsi="Arial" w:cs="Arial"/>
                <w:sz w:val="16"/>
                <w:szCs w:val="16"/>
                <w:lang w:eastAsia="es-CO"/>
              </w:rPr>
              <w:t>inmuebles y</w:t>
            </w:r>
            <w:r w:rsidRPr="001B6060">
              <w:rPr>
                <w:rFonts w:ascii="Arial" w:eastAsia="Times New Roman" w:hAnsi="Arial" w:cs="Arial"/>
                <w:sz w:val="16"/>
                <w:szCs w:val="16"/>
                <w:lang w:eastAsia="es-CO"/>
              </w:rPr>
              <w:t xml:space="preserve"> los formatos de control trámite de pagos y </w:t>
            </w:r>
            <w:r w:rsidRPr="001B6060">
              <w:rPr>
                <w:rFonts w:ascii="Arial" w:eastAsia="Times New Roman" w:hAnsi="Arial" w:cs="Arial"/>
                <w:sz w:val="16"/>
                <w:szCs w:val="16"/>
                <w:lang w:eastAsia="es-CO"/>
              </w:rPr>
              <w:lastRenderedPageBreak/>
              <w:t>relación de facturas trámite pagos.</w:t>
            </w:r>
          </w:p>
        </w:tc>
        <w:tc>
          <w:tcPr>
            <w:tcW w:w="1011" w:type="dxa"/>
            <w:tcBorders>
              <w:top w:val="nil"/>
              <w:left w:val="nil"/>
              <w:bottom w:val="single" w:sz="4" w:space="0" w:color="auto"/>
              <w:right w:val="single" w:sz="4" w:space="0" w:color="auto"/>
            </w:tcBorders>
            <w:shd w:val="clear" w:color="auto" w:fill="auto"/>
            <w:vAlign w:val="center"/>
            <w:hideMark/>
          </w:tcPr>
          <w:p w14:paraId="05D12B51"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lastRenderedPageBreak/>
              <w:t>Correo electrónico</w:t>
            </w:r>
          </w:p>
        </w:tc>
        <w:tc>
          <w:tcPr>
            <w:tcW w:w="1119" w:type="dxa"/>
            <w:tcBorders>
              <w:top w:val="nil"/>
              <w:left w:val="nil"/>
              <w:bottom w:val="single" w:sz="4" w:space="0" w:color="auto"/>
              <w:right w:val="single" w:sz="4" w:space="0" w:color="auto"/>
            </w:tcBorders>
            <w:shd w:val="clear" w:color="auto" w:fill="auto"/>
            <w:vAlign w:val="center"/>
            <w:hideMark/>
          </w:tcPr>
          <w:p w14:paraId="44777155"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w:t>
            </w:r>
          </w:p>
        </w:tc>
        <w:tc>
          <w:tcPr>
            <w:tcW w:w="992" w:type="dxa"/>
            <w:tcBorders>
              <w:top w:val="nil"/>
              <w:left w:val="nil"/>
              <w:bottom w:val="single" w:sz="4" w:space="0" w:color="auto"/>
              <w:right w:val="single" w:sz="4" w:space="0" w:color="auto"/>
            </w:tcBorders>
            <w:shd w:val="clear" w:color="auto" w:fill="auto"/>
            <w:vAlign w:val="center"/>
            <w:hideMark/>
          </w:tcPr>
          <w:p w14:paraId="3543987B"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2023-08-01</w:t>
            </w:r>
          </w:p>
        </w:tc>
        <w:tc>
          <w:tcPr>
            <w:tcW w:w="1134" w:type="dxa"/>
            <w:tcBorders>
              <w:top w:val="nil"/>
              <w:left w:val="nil"/>
              <w:bottom w:val="single" w:sz="4" w:space="0" w:color="auto"/>
              <w:right w:val="single" w:sz="4" w:space="0" w:color="auto"/>
            </w:tcBorders>
            <w:shd w:val="clear" w:color="auto" w:fill="auto"/>
            <w:vAlign w:val="center"/>
            <w:hideMark/>
          </w:tcPr>
          <w:p w14:paraId="7D3D6EE9"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2024-07-31</w:t>
            </w:r>
          </w:p>
        </w:tc>
        <w:tc>
          <w:tcPr>
            <w:tcW w:w="1816" w:type="dxa"/>
            <w:tcBorders>
              <w:top w:val="nil"/>
              <w:left w:val="nil"/>
              <w:bottom w:val="single" w:sz="4" w:space="0" w:color="auto"/>
              <w:right w:val="single" w:sz="4" w:space="0" w:color="auto"/>
            </w:tcBorders>
            <w:shd w:val="clear" w:color="000000" w:fill="FFFFFF"/>
            <w:vAlign w:val="center"/>
            <w:hideMark/>
          </w:tcPr>
          <w:p w14:paraId="38D4E4BE" w14:textId="77777777" w:rsidR="001B6060" w:rsidRPr="001B6060" w:rsidRDefault="001B6060" w:rsidP="001B6060">
            <w:pPr>
              <w:jc w:val="center"/>
              <w:rPr>
                <w:rFonts w:ascii="Arial" w:eastAsia="Times New Roman" w:hAnsi="Arial" w:cs="Arial"/>
                <w:sz w:val="16"/>
                <w:szCs w:val="16"/>
                <w:lang w:eastAsia="es-CO"/>
              </w:rPr>
            </w:pPr>
            <w:r w:rsidRPr="001B6060">
              <w:rPr>
                <w:rFonts w:ascii="Arial" w:eastAsia="Times New Roman" w:hAnsi="Arial" w:cs="Arial"/>
                <w:sz w:val="16"/>
                <w:szCs w:val="16"/>
                <w:lang w:eastAsia="es-CO"/>
              </w:rPr>
              <w:t>52,14</w:t>
            </w:r>
          </w:p>
        </w:tc>
      </w:tr>
    </w:tbl>
    <w:p w14:paraId="31E0240B" w14:textId="5B4B62B3" w:rsidR="00A864B1" w:rsidRDefault="00A864B1" w:rsidP="00BC4504">
      <w:pPr>
        <w:jc w:val="center"/>
        <w:rPr>
          <w:rFonts w:ascii="Arial" w:hAnsi="Arial" w:cs="Arial"/>
          <w:b/>
          <w:bCs/>
        </w:rPr>
      </w:pPr>
    </w:p>
    <w:p w14:paraId="76165A0C" w14:textId="77777777" w:rsidR="00A864B1" w:rsidRDefault="00A864B1">
      <w:pPr>
        <w:rPr>
          <w:rFonts w:ascii="Arial" w:hAnsi="Arial" w:cs="Arial"/>
          <w:b/>
          <w:bCs/>
        </w:rPr>
      </w:pPr>
      <w:r>
        <w:rPr>
          <w:rFonts w:ascii="Arial" w:hAnsi="Arial" w:cs="Arial"/>
          <w:b/>
          <w:bCs/>
        </w:rPr>
        <w:br w:type="page"/>
      </w:r>
    </w:p>
    <w:p w14:paraId="71D38969" w14:textId="77777777" w:rsidR="001B6060" w:rsidRDefault="001B6060" w:rsidP="00BC4504">
      <w:pPr>
        <w:jc w:val="center"/>
        <w:rPr>
          <w:rFonts w:ascii="Arial" w:hAnsi="Arial" w:cs="Arial"/>
          <w:b/>
          <w:bCs/>
        </w:rPr>
      </w:pPr>
    </w:p>
    <w:p w14:paraId="1E5328F5" w14:textId="5A366AAE" w:rsidR="00BC4504" w:rsidRPr="00BC4504" w:rsidRDefault="00BC4504" w:rsidP="00BC4504">
      <w:pPr>
        <w:jc w:val="center"/>
        <w:rPr>
          <w:rFonts w:ascii="Arial" w:hAnsi="Arial" w:cs="Arial"/>
          <w:b/>
          <w:bCs/>
        </w:rPr>
      </w:pPr>
      <w:r w:rsidRPr="00BC4504">
        <w:rPr>
          <w:rFonts w:ascii="Arial" w:hAnsi="Arial" w:cs="Arial"/>
          <w:b/>
          <w:bCs/>
        </w:rPr>
        <w:t xml:space="preserve">ANEXO </w:t>
      </w:r>
      <w:r>
        <w:rPr>
          <w:rFonts w:ascii="Arial" w:hAnsi="Arial" w:cs="Arial"/>
          <w:b/>
          <w:bCs/>
        </w:rPr>
        <w:t>2</w:t>
      </w:r>
    </w:p>
    <w:p w14:paraId="165F61CD" w14:textId="1E5ADC74" w:rsidR="009D4A0E" w:rsidRPr="00BC4504" w:rsidRDefault="009D4A0E" w:rsidP="009D4A0E">
      <w:pPr>
        <w:jc w:val="center"/>
        <w:rPr>
          <w:rFonts w:ascii="Arial" w:hAnsi="Arial" w:cs="Arial"/>
          <w:b/>
          <w:bCs/>
        </w:rPr>
      </w:pPr>
      <w:r w:rsidRPr="00BC4504">
        <w:rPr>
          <w:rFonts w:ascii="Arial" w:hAnsi="Arial" w:cs="Arial"/>
          <w:b/>
          <w:bCs/>
        </w:rPr>
        <w:t xml:space="preserve">INFORMACIÓN SEGUIMIENTO SOBRE LOS PLANES DE MEJORAMIENTO </w:t>
      </w:r>
    </w:p>
    <w:p w14:paraId="488F8A79" w14:textId="77777777" w:rsidR="009D4A0E" w:rsidRPr="009E31A5" w:rsidRDefault="009D4A0E" w:rsidP="009D4A0E">
      <w:pPr>
        <w:jc w:val="center"/>
        <w:rPr>
          <w:rFonts w:ascii="Arial" w:hAnsi="Arial" w:cs="Arial"/>
        </w:rPr>
      </w:pPr>
      <w:r w:rsidRPr="009E31A5">
        <w:rPr>
          <w:rFonts w:ascii="Arial" w:hAnsi="Arial" w:cs="Arial"/>
        </w:rPr>
        <w:t xml:space="preserve">Informe presentado a la Contraloría General de la República </w:t>
      </w:r>
    </w:p>
    <w:p w14:paraId="7544184A" w14:textId="77777777" w:rsidR="009D4A0E" w:rsidRPr="009E31A5" w:rsidRDefault="009D4A0E" w:rsidP="009D4A0E">
      <w:pPr>
        <w:jc w:val="center"/>
        <w:rPr>
          <w:rFonts w:ascii="Arial" w:hAnsi="Arial" w:cs="Arial"/>
        </w:rPr>
      </w:pPr>
      <w:r w:rsidRPr="009E31A5">
        <w:rPr>
          <w:rFonts w:ascii="Arial" w:hAnsi="Arial" w:cs="Arial"/>
        </w:rPr>
        <w:t xml:space="preserve">Entidad: Fiscalía General de la Nación </w:t>
      </w:r>
    </w:p>
    <w:p w14:paraId="43D14E8A" w14:textId="77777777" w:rsidR="009D4A0E" w:rsidRPr="009E31A5" w:rsidRDefault="009D4A0E" w:rsidP="009D4A0E">
      <w:pPr>
        <w:jc w:val="center"/>
        <w:rPr>
          <w:rFonts w:ascii="Arial" w:hAnsi="Arial" w:cs="Arial"/>
        </w:rPr>
      </w:pPr>
      <w:r w:rsidRPr="009E31A5">
        <w:rPr>
          <w:rFonts w:ascii="Arial" w:hAnsi="Arial" w:cs="Arial"/>
        </w:rPr>
        <w:t xml:space="preserve">Representante Legal: FRANCISCO ROBERTO BARBOSA DELGADO </w:t>
      </w:r>
    </w:p>
    <w:p w14:paraId="67341830" w14:textId="77777777" w:rsidR="009D4A0E" w:rsidRPr="009E31A5" w:rsidRDefault="009D4A0E" w:rsidP="009D4A0E">
      <w:pPr>
        <w:jc w:val="center"/>
        <w:rPr>
          <w:rFonts w:ascii="Arial" w:hAnsi="Arial" w:cs="Arial"/>
        </w:rPr>
      </w:pPr>
      <w:r w:rsidRPr="009E31A5">
        <w:rPr>
          <w:rFonts w:ascii="Arial" w:hAnsi="Arial" w:cs="Arial"/>
        </w:rPr>
        <w:t xml:space="preserve">Cargo: Fiscal General de la Nación </w:t>
      </w:r>
    </w:p>
    <w:p w14:paraId="45243372" w14:textId="648B7490" w:rsidR="009D4A0E" w:rsidRPr="009E31A5" w:rsidRDefault="009D4A0E" w:rsidP="009D4A0E">
      <w:pPr>
        <w:jc w:val="center"/>
        <w:rPr>
          <w:rFonts w:ascii="Arial" w:hAnsi="Arial" w:cs="Arial"/>
        </w:rPr>
      </w:pPr>
      <w:r w:rsidRPr="009E31A5">
        <w:rPr>
          <w:rFonts w:ascii="Arial" w:hAnsi="Arial" w:cs="Arial"/>
        </w:rPr>
        <w:t>Modalidad de Auditoría: Regular vigencia 2019</w:t>
      </w:r>
      <w:r w:rsidR="00BE12EB" w:rsidRPr="009E31A5">
        <w:rPr>
          <w:rFonts w:ascii="Arial" w:hAnsi="Arial" w:cs="Arial"/>
        </w:rPr>
        <w:t>-2020</w:t>
      </w:r>
      <w:r w:rsidR="00943F31">
        <w:rPr>
          <w:rFonts w:ascii="Arial" w:hAnsi="Arial" w:cs="Arial"/>
        </w:rPr>
        <w:t>-2021</w:t>
      </w:r>
      <w:r w:rsidRPr="009E31A5">
        <w:rPr>
          <w:rFonts w:ascii="Arial" w:hAnsi="Arial" w:cs="Arial"/>
        </w:rPr>
        <w:t xml:space="preserve"> </w:t>
      </w:r>
    </w:p>
    <w:p w14:paraId="4851F449" w14:textId="4CB290E0" w:rsidR="00E14BA6" w:rsidRPr="009E31A5" w:rsidRDefault="00943F31" w:rsidP="009D4A0E">
      <w:pPr>
        <w:jc w:val="center"/>
        <w:rPr>
          <w:rFonts w:ascii="Arial" w:hAnsi="Arial" w:cs="Arial"/>
        </w:rPr>
      </w:pPr>
      <w:r>
        <w:rPr>
          <w:rFonts w:ascii="Arial" w:hAnsi="Arial" w:cs="Arial"/>
        </w:rPr>
        <w:t>3</w:t>
      </w:r>
      <w:r w:rsidR="0066545F">
        <w:rPr>
          <w:rFonts w:ascii="Arial" w:hAnsi="Arial" w:cs="Arial"/>
        </w:rPr>
        <w:t>0</w:t>
      </w:r>
      <w:r>
        <w:rPr>
          <w:rFonts w:ascii="Arial" w:hAnsi="Arial" w:cs="Arial"/>
        </w:rPr>
        <w:t>/</w:t>
      </w:r>
      <w:r w:rsidR="0066545F">
        <w:rPr>
          <w:rFonts w:ascii="Arial" w:hAnsi="Arial" w:cs="Arial"/>
        </w:rPr>
        <w:t>06</w:t>
      </w:r>
      <w:r>
        <w:rPr>
          <w:rFonts w:ascii="Arial" w:hAnsi="Arial" w:cs="Arial"/>
        </w:rPr>
        <w:t>/202</w:t>
      </w:r>
      <w:r w:rsidR="0066545F">
        <w:rPr>
          <w:rFonts w:ascii="Arial" w:hAnsi="Arial" w:cs="Arial"/>
        </w:rPr>
        <w:t>3</w:t>
      </w:r>
    </w:p>
    <w:tbl>
      <w:tblPr>
        <w:tblW w:w="15615"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84"/>
        <w:gridCol w:w="1412"/>
        <w:gridCol w:w="1635"/>
        <w:gridCol w:w="1910"/>
        <w:gridCol w:w="1403"/>
        <w:gridCol w:w="692"/>
        <w:gridCol w:w="941"/>
        <w:gridCol w:w="1047"/>
        <w:gridCol w:w="879"/>
        <w:gridCol w:w="959"/>
        <w:gridCol w:w="2053"/>
      </w:tblGrid>
      <w:tr w:rsidR="00853EB6" w:rsidRPr="00853EB6" w14:paraId="3DB15375" w14:textId="77777777" w:rsidTr="00853EB6">
        <w:trPr>
          <w:trHeight w:val="1200"/>
          <w:tblHeader/>
        </w:trPr>
        <w:tc>
          <w:tcPr>
            <w:tcW w:w="2684" w:type="dxa"/>
            <w:shd w:val="clear" w:color="000000" w:fill="FFFFFF"/>
            <w:hideMark/>
          </w:tcPr>
          <w:p w14:paraId="2CD28C34" w14:textId="77777777" w:rsidR="00853EB6" w:rsidRDefault="00853EB6" w:rsidP="00853EB6">
            <w:pPr>
              <w:jc w:val="center"/>
              <w:rPr>
                <w:rFonts w:ascii="Arial" w:eastAsia="Times New Roman" w:hAnsi="Arial" w:cs="Arial"/>
                <w:b/>
                <w:bCs/>
                <w:sz w:val="16"/>
                <w:szCs w:val="16"/>
                <w:lang w:eastAsia="es-CO"/>
              </w:rPr>
            </w:pPr>
          </w:p>
          <w:p w14:paraId="44F145CB" w14:textId="0A2E49D1"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 xml:space="preserve">Descripción hallazgo </w:t>
            </w:r>
          </w:p>
        </w:tc>
        <w:tc>
          <w:tcPr>
            <w:tcW w:w="1412" w:type="dxa"/>
            <w:shd w:val="clear" w:color="000000" w:fill="FFFFFF"/>
            <w:hideMark/>
          </w:tcPr>
          <w:p w14:paraId="13C43020" w14:textId="77777777" w:rsidR="00853EB6" w:rsidRDefault="00853EB6" w:rsidP="00853EB6">
            <w:pPr>
              <w:jc w:val="center"/>
              <w:rPr>
                <w:rFonts w:ascii="Arial" w:eastAsia="Times New Roman" w:hAnsi="Arial" w:cs="Arial"/>
                <w:b/>
                <w:bCs/>
                <w:sz w:val="16"/>
                <w:szCs w:val="16"/>
                <w:lang w:eastAsia="es-CO"/>
              </w:rPr>
            </w:pPr>
          </w:p>
          <w:p w14:paraId="770F662B" w14:textId="24595FFD"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Causa del hallazgo</w:t>
            </w:r>
          </w:p>
        </w:tc>
        <w:tc>
          <w:tcPr>
            <w:tcW w:w="1635" w:type="dxa"/>
            <w:shd w:val="clear" w:color="000000" w:fill="FFFFFF"/>
            <w:hideMark/>
          </w:tcPr>
          <w:p w14:paraId="224B4003" w14:textId="77777777" w:rsidR="00853EB6" w:rsidRDefault="00853EB6" w:rsidP="00853EB6">
            <w:pPr>
              <w:ind w:left="-89"/>
              <w:jc w:val="center"/>
              <w:rPr>
                <w:rFonts w:ascii="Arial" w:eastAsia="Times New Roman" w:hAnsi="Arial" w:cs="Arial"/>
                <w:b/>
                <w:bCs/>
                <w:sz w:val="16"/>
                <w:szCs w:val="16"/>
                <w:lang w:eastAsia="es-CO"/>
              </w:rPr>
            </w:pPr>
          </w:p>
          <w:p w14:paraId="44EC500E" w14:textId="7C82001C"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Acción de mejoramiento</w:t>
            </w:r>
          </w:p>
        </w:tc>
        <w:tc>
          <w:tcPr>
            <w:tcW w:w="1910" w:type="dxa"/>
            <w:shd w:val="clear" w:color="000000" w:fill="FFFFFF"/>
            <w:hideMark/>
          </w:tcPr>
          <w:p w14:paraId="22C22239" w14:textId="77777777" w:rsidR="00853EB6" w:rsidRDefault="00853EB6" w:rsidP="00853EB6">
            <w:pPr>
              <w:jc w:val="center"/>
              <w:rPr>
                <w:rFonts w:ascii="Arial" w:eastAsia="Times New Roman" w:hAnsi="Arial" w:cs="Arial"/>
                <w:b/>
                <w:bCs/>
                <w:sz w:val="16"/>
                <w:szCs w:val="16"/>
                <w:lang w:eastAsia="es-CO"/>
              </w:rPr>
            </w:pPr>
          </w:p>
          <w:p w14:paraId="6CAC29B0" w14:textId="3BE38716"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Descripción de las Metas</w:t>
            </w:r>
          </w:p>
        </w:tc>
        <w:tc>
          <w:tcPr>
            <w:tcW w:w="1403" w:type="dxa"/>
            <w:shd w:val="clear" w:color="000000" w:fill="FFFFFF"/>
            <w:hideMark/>
          </w:tcPr>
          <w:p w14:paraId="16A27C70" w14:textId="77777777" w:rsidR="00853EB6" w:rsidRDefault="00853EB6" w:rsidP="00853EB6">
            <w:pPr>
              <w:jc w:val="center"/>
              <w:rPr>
                <w:rFonts w:ascii="Arial" w:eastAsia="Times New Roman" w:hAnsi="Arial" w:cs="Arial"/>
                <w:b/>
                <w:bCs/>
                <w:sz w:val="16"/>
                <w:szCs w:val="16"/>
                <w:lang w:eastAsia="es-CO"/>
              </w:rPr>
            </w:pPr>
          </w:p>
          <w:p w14:paraId="23C842D2" w14:textId="0CA7A646"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Denominación de la Unidad de medida de la Meta</w:t>
            </w:r>
          </w:p>
        </w:tc>
        <w:tc>
          <w:tcPr>
            <w:tcW w:w="692" w:type="dxa"/>
            <w:shd w:val="clear" w:color="000000" w:fill="FFFFFF"/>
            <w:hideMark/>
          </w:tcPr>
          <w:p w14:paraId="54B82BC2"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Unidad de Medida de la Meta</w:t>
            </w:r>
          </w:p>
        </w:tc>
        <w:tc>
          <w:tcPr>
            <w:tcW w:w="941" w:type="dxa"/>
            <w:shd w:val="clear" w:color="000000" w:fill="FFFFFF"/>
            <w:hideMark/>
          </w:tcPr>
          <w:p w14:paraId="38739788"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Fecha iniciación Metas</w:t>
            </w:r>
          </w:p>
        </w:tc>
        <w:tc>
          <w:tcPr>
            <w:tcW w:w="1047" w:type="dxa"/>
            <w:shd w:val="clear" w:color="000000" w:fill="FFFFFF"/>
            <w:hideMark/>
          </w:tcPr>
          <w:p w14:paraId="4588FF04"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Fecha terminación Metas</w:t>
            </w:r>
          </w:p>
        </w:tc>
        <w:tc>
          <w:tcPr>
            <w:tcW w:w="879" w:type="dxa"/>
            <w:shd w:val="clear" w:color="000000" w:fill="FFFFFF"/>
            <w:hideMark/>
          </w:tcPr>
          <w:p w14:paraId="6EA04D3B"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 xml:space="preserve">Avance físico de ejecución de las metas  </w:t>
            </w:r>
          </w:p>
        </w:tc>
        <w:tc>
          <w:tcPr>
            <w:tcW w:w="959" w:type="dxa"/>
            <w:shd w:val="clear" w:color="000000" w:fill="FFFFFF"/>
            <w:hideMark/>
          </w:tcPr>
          <w:p w14:paraId="16BFC3FA" w14:textId="4693771C"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 xml:space="preserve">Porcentaje de Avance físico de ejecución de las metas  </w:t>
            </w:r>
          </w:p>
        </w:tc>
        <w:tc>
          <w:tcPr>
            <w:tcW w:w="2053" w:type="dxa"/>
            <w:shd w:val="clear" w:color="000000" w:fill="FFFFFF"/>
            <w:hideMark/>
          </w:tcPr>
          <w:p w14:paraId="3429ABD1"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Observación - Conclusión Por Meta</w:t>
            </w:r>
          </w:p>
        </w:tc>
      </w:tr>
      <w:tr w:rsidR="00853EB6" w:rsidRPr="00853EB6" w14:paraId="01893057" w14:textId="77777777" w:rsidTr="00853EB6">
        <w:trPr>
          <w:trHeight w:val="2550"/>
        </w:trPr>
        <w:tc>
          <w:tcPr>
            <w:tcW w:w="2684" w:type="dxa"/>
            <w:shd w:val="clear" w:color="000000" w:fill="FFFFFF"/>
            <w:vAlign w:val="center"/>
            <w:hideMark/>
          </w:tcPr>
          <w:p w14:paraId="5B2D28F3" w14:textId="7E3CBA3A"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Hallazgo No. 19. Identificación de bienes (A). Se evidenció que en la base de datos de bienes de la Seccional Santander se presentan elementos con igual placa, pero diferente articulo y descripción. Al confrontar la información de la base de datos de la Seccional Santander con las resoluciones de baja de la vigencia 2021 se encontraron elementos con los mismos números de placa.</w:t>
            </w:r>
          </w:p>
        </w:tc>
        <w:tc>
          <w:tcPr>
            <w:tcW w:w="1412" w:type="dxa"/>
            <w:shd w:val="clear" w:color="000000" w:fill="FFFFFF"/>
            <w:hideMark/>
          </w:tcPr>
          <w:p w14:paraId="6E88CB8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Debilidades en mecanismos de control y registro de los bienes devolutivos en lo que corresponde al </w:t>
            </w:r>
            <w:proofErr w:type="spellStart"/>
            <w:r w:rsidRPr="00853EB6">
              <w:rPr>
                <w:rFonts w:ascii="Arial" w:eastAsia="Times New Roman" w:hAnsi="Arial" w:cs="Arial"/>
                <w:sz w:val="16"/>
                <w:szCs w:val="16"/>
                <w:lang w:eastAsia="es-CO"/>
              </w:rPr>
              <w:t>plaqueteado</w:t>
            </w:r>
            <w:proofErr w:type="spellEnd"/>
            <w:r w:rsidRPr="00853EB6">
              <w:rPr>
                <w:rFonts w:ascii="Arial" w:eastAsia="Times New Roman" w:hAnsi="Arial" w:cs="Arial"/>
                <w:sz w:val="16"/>
                <w:szCs w:val="16"/>
                <w:lang w:eastAsia="es-CO"/>
              </w:rPr>
              <w:t xml:space="preserve"> de los mismos y depuración de las bases de datos.</w:t>
            </w:r>
          </w:p>
        </w:tc>
        <w:tc>
          <w:tcPr>
            <w:tcW w:w="1635" w:type="dxa"/>
            <w:shd w:val="clear" w:color="000000" w:fill="FFFFFF"/>
            <w:hideMark/>
          </w:tcPr>
          <w:p w14:paraId="0C1DA775" w14:textId="2C733C3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Identificar las placas de inventario idénticas y realizar el proceso de </w:t>
            </w:r>
            <w:proofErr w:type="spellStart"/>
            <w:r w:rsidRPr="00853EB6">
              <w:rPr>
                <w:rFonts w:ascii="Arial" w:eastAsia="Times New Roman" w:hAnsi="Arial" w:cs="Arial"/>
                <w:sz w:val="16"/>
                <w:szCs w:val="16"/>
                <w:lang w:eastAsia="es-CO"/>
              </w:rPr>
              <w:t>replaqueteo</w:t>
            </w:r>
            <w:proofErr w:type="spellEnd"/>
          </w:p>
        </w:tc>
        <w:tc>
          <w:tcPr>
            <w:tcW w:w="1910" w:type="dxa"/>
            <w:shd w:val="clear" w:color="000000" w:fill="FFFFFF"/>
            <w:hideMark/>
          </w:tcPr>
          <w:p w14:paraId="72691E04" w14:textId="5D16D4BB"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Implementar un mecanismo para la identificación de las placas de inventario idénticas.</w:t>
            </w:r>
          </w:p>
        </w:tc>
        <w:tc>
          <w:tcPr>
            <w:tcW w:w="1403" w:type="dxa"/>
            <w:shd w:val="clear" w:color="000000" w:fill="FFFFFF"/>
            <w:hideMark/>
          </w:tcPr>
          <w:p w14:paraId="45B17DE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Mecanismo </w:t>
            </w:r>
          </w:p>
        </w:tc>
        <w:tc>
          <w:tcPr>
            <w:tcW w:w="692" w:type="dxa"/>
            <w:shd w:val="clear" w:color="000000" w:fill="FFFFFF"/>
            <w:hideMark/>
          </w:tcPr>
          <w:p w14:paraId="453904A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37754C4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29FCC53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1-oct-22</w:t>
            </w:r>
          </w:p>
        </w:tc>
        <w:tc>
          <w:tcPr>
            <w:tcW w:w="879" w:type="dxa"/>
            <w:shd w:val="clear" w:color="000000" w:fill="FFFFFF"/>
            <w:hideMark/>
          </w:tcPr>
          <w:p w14:paraId="276E80B1"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554BBC1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4CC01F9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30-06-2023 se evidenció que se implementó un mecanismo desarrollado en SIAF "código único para identificar los bienes", el cual asignará automáticamente un consecutivo a nivel nacional sin efectuar </w:t>
            </w:r>
            <w:proofErr w:type="spellStart"/>
            <w:r w:rsidRPr="00853EB6">
              <w:rPr>
                <w:rFonts w:ascii="Arial" w:eastAsia="Times New Roman" w:hAnsi="Arial" w:cs="Arial"/>
                <w:sz w:val="16"/>
                <w:szCs w:val="16"/>
                <w:lang w:eastAsia="es-CO"/>
              </w:rPr>
              <w:t>replaqueteo</w:t>
            </w:r>
            <w:proofErr w:type="spellEnd"/>
            <w:r w:rsidRPr="00853EB6">
              <w:rPr>
                <w:rFonts w:ascii="Arial" w:eastAsia="Times New Roman" w:hAnsi="Arial" w:cs="Arial"/>
                <w:sz w:val="16"/>
                <w:szCs w:val="16"/>
                <w:lang w:eastAsia="es-CO"/>
              </w:rPr>
              <w:t xml:space="preserve"> de los bienes en servicio. La información se migrará a partir del 17/07/2023.</w:t>
            </w:r>
          </w:p>
        </w:tc>
      </w:tr>
      <w:tr w:rsidR="00853EB6" w:rsidRPr="00853EB6" w14:paraId="60BF3E6B" w14:textId="77777777" w:rsidTr="00853EB6">
        <w:trPr>
          <w:trHeight w:val="2036"/>
        </w:trPr>
        <w:tc>
          <w:tcPr>
            <w:tcW w:w="2684" w:type="dxa"/>
            <w:shd w:val="clear" w:color="000000" w:fill="FFFFFF"/>
            <w:vAlign w:val="center"/>
            <w:hideMark/>
          </w:tcPr>
          <w:p w14:paraId="584A5E3E" w14:textId="6D3C5315"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Hallazgo No. 19. Identificación de bienes (A). Se evidenció que en la base de datos de bienes de la Seccional Santander se presentan elementos con igual </w:t>
            </w:r>
            <w:r w:rsidR="00AC3818" w:rsidRPr="00853EB6">
              <w:rPr>
                <w:rFonts w:ascii="Arial" w:eastAsia="Times New Roman" w:hAnsi="Arial" w:cs="Arial"/>
                <w:sz w:val="16"/>
                <w:szCs w:val="16"/>
                <w:lang w:eastAsia="es-CO"/>
              </w:rPr>
              <w:t>placa,</w:t>
            </w:r>
            <w:r w:rsidRPr="00853EB6">
              <w:rPr>
                <w:rFonts w:ascii="Arial" w:eastAsia="Times New Roman" w:hAnsi="Arial" w:cs="Arial"/>
                <w:sz w:val="16"/>
                <w:szCs w:val="16"/>
                <w:lang w:eastAsia="es-CO"/>
              </w:rPr>
              <w:t xml:space="preserve"> pero diferente articulo y descripción. Al confrontar la información de la base de datos de la Seccional Santander con las resoluciones de baja de la vigencia 2021 se encontraron elementos con los mismos números de placa.</w:t>
            </w:r>
          </w:p>
        </w:tc>
        <w:tc>
          <w:tcPr>
            <w:tcW w:w="1412" w:type="dxa"/>
            <w:shd w:val="clear" w:color="000000" w:fill="FFFFFF"/>
            <w:hideMark/>
          </w:tcPr>
          <w:p w14:paraId="380E5FF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Debilidades en mecanismos de control y registro de los bienes devolutivos en lo que corresponde al </w:t>
            </w:r>
            <w:proofErr w:type="spellStart"/>
            <w:r w:rsidRPr="00853EB6">
              <w:rPr>
                <w:rFonts w:ascii="Arial" w:eastAsia="Times New Roman" w:hAnsi="Arial" w:cs="Arial"/>
                <w:sz w:val="16"/>
                <w:szCs w:val="16"/>
                <w:lang w:eastAsia="es-CO"/>
              </w:rPr>
              <w:t>plaqueteado</w:t>
            </w:r>
            <w:proofErr w:type="spellEnd"/>
            <w:r w:rsidRPr="00853EB6">
              <w:rPr>
                <w:rFonts w:ascii="Arial" w:eastAsia="Times New Roman" w:hAnsi="Arial" w:cs="Arial"/>
                <w:sz w:val="16"/>
                <w:szCs w:val="16"/>
                <w:lang w:eastAsia="es-CO"/>
              </w:rPr>
              <w:t xml:space="preserve"> de los mismos y depuración de las bases de datos.</w:t>
            </w:r>
          </w:p>
        </w:tc>
        <w:tc>
          <w:tcPr>
            <w:tcW w:w="1635" w:type="dxa"/>
            <w:shd w:val="clear" w:color="000000" w:fill="FFFFFF"/>
            <w:hideMark/>
          </w:tcPr>
          <w:p w14:paraId="78AF7E69" w14:textId="0056762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Identificar las placas de inventario </w:t>
            </w:r>
            <w:r w:rsidR="00AC3818" w:rsidRPr="00853EB6">
              <w:rPr>
                <w:rFonts w:ascii="Arial" w:eastAsia="Times New Roman" w:hAnsi="Arial" w:cs="Arial"/>
                <w:sz w:val="16"/>
                <w:szCs w:val="16"/>
                <w:lang w:eastAsia="es-CO"/>
              </w:rPr>
              <w:t>idénticas</w:t>
            </w:r>
            <w:r w:rsidRPr="00853EB6">
              <w:rPr>
                <w:rFonts w:ascii="Arial" w:eastAsia="Times New Roman" w:hAnsi="Arial" w:cs="Arial"/>
                <w:sz w:val="16"/>
                <w:szCs w:val="16"/>
                <w:lang w:eastAsia="es-CO"/>
              </w:rPr>
              <w:t xml:space="preserve"> y realizar el proceso de </w:t>
            </w:r>
            <w:proofErr w:type="spellStart"/>
            <w:r w:rsidRPr="00853EB6">
              <w:rPr>
                <w:rFonts w:ascii="Arial" w:eastAsia="Times New Roman" w:hAnsi="Arial" w:cs="Arial"/>
                <w:sz w:val="16"/>
                <w:szCs w:val="16"/>
                <w:lang w:eastAsia="es-CO"/>
              </w:rPr>
              <w:t>replaqueteo</w:t>
            </w:r>
            <w:proofErr w:type="spellEnd"/>
          </w:p>
        </w:tc>
        <w:tc>
          <w:tcPr>
            <w:tcW w:w="1910" w:type="dxa"/>
            <w:shd w:val="clear" w:color="000000" w:fill="FFFFFF"/>
            <w:hideMark/>
          </w:tcPr>
          <w:p w14:paraId="0CA6FDA1" w14:textId="5A9CB09D"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Realizar proceso de </w:t>
            </w:r>
            <w:proofErr w:type="spellStart"/>
            <w:r w:rsidRPr="00853EB6">
              <w:rPr>
                <w:rFonts w:ascii="Arial" w:eastAsia="Times New Roman" w:hAnsi="Arial" w:cs="Arial"/>
                <w:sz w:val="16"/>
                <w:szCs w:val="16"/>
                <w:lang w:eastAsia="es-CO"/>
              </w:rPr>
              <w:t>replaqueteo</w:t>
            </w:r>
            <w:proofErr w:type="spellEnd"/>
            <w:r w:rsidRPr="00853EB6">
              <w:rPr>
                <w:rFonts w:ascii="Arial" w:eastAsia="Times New Roman" w:hAnsi="Arial" w:cs="Arial"/>
                <w:sz w:val="16"/>
                <w:szCs w:val="16"/>
                <w:lang w:eastAsia="es-CO"/>
              </w:rPr>
              <w:t xml:space="preserve"> de los bienes identificados con placas de inventario </w:t>
            </w:r>
            <w:r w:rsidR="00AC3818" w:rsidRPr="00853EB6">
              <w:rPr>
                <w:rFonts w:ascii="Arial" w:eastAsia="Times New Roman" w:hAnsi="Arial" w:cs="Arial"/>
                <w:sz w:val="16"/>
                <w:szCs w:val="16"/>
                <w:lang w:eastAsia="es-CO"/>
              </w:rPr>
              <w:t>idénticas</w:t>
            </w:r>
          </w:p>
        </w:tc>
        <w:tc>
          <w:tcPr>
            <w:tcW w:w="1403" w:type="dxa"/>
            <w:shd w:val="clear" w:color="000000" w:fill="FFFFFF"/>
            <w:hideMark/>
          </w:tcPr>
          <w:p w14:paraId="7D5CD3B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trimestral</w:t>
            </w:r>
          </w:p>
        </w:tc>
        <w:tc>
          <w:tcPr>
            <w:tcW w:w="692" w:type="dxa"/>
            <w:shd w:val="clear" w:color="000000" w:fill="FFFFFF"/>
            <w:hideMark/>
          </w:tcPr>
          <w:p w14:paraId="6D33FA1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w:t>
            </w:r>
          </w:p>
        </w:tc>
        <w:tc>
          <w:tcPr>
            <w:tcW w:w="941" w:type="dxa"/>
            <w:shd w:val="clear" w:color="000000" w:fill="FFFFFF"/>
            <w:hideMark/>
          </w:tcPr>
          <w:p w14:paraId="7E0E04B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2-oct-22</w:t>
            </w:r>
          </w:p>
        </w:tc>
        <w:tc>
          <w:tcPr>
            <w:tcW w:w="1047" w:type="dxa"/>
            <w:shd w:val="clear" w:color="000000" w:fill="FFFFFF"/>
            <w:hideMark/>
          </w:tcPr>
          <w:p w14:paraId="7AD7E1E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31-mar-23</w:t>
            </w:r>
          </w:p>
        </w:tc>
        <w:tc>
          <w:tcPr>
            <w:tcW w:w="879" w:type="dxa"/>
            <w:shd w:val="clear" w:color="000000" w:fill="FFFFFF"/>
            <w:hideMark/>
          </w:tcPr>
          <w:p w14:paraId="1C2FA77A"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0</w:t>
            </w:r>
          </w:p>
        </w:tc>
        <w:tc>
          <w:tcPr>
            <w:tcW w:w="959" w:type="dxa"/>
            <w:shd w:val="clear" w:color="000000" w:fill="FFFFFF"/>
            <w:hideMark/>
          </w:tcPr>
          <w:p w14:paraId="6B38A40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0%</w:t>
            </w:r>
          </w:p>
        </w:tc>
        <w:tc>
          <w:tcPr>
            <w:tcW w:w="2053" w:type="dxa"/>
            <w:shd w:val="clear" w:color="000000" w:fill="FFFFFF"/>
            <w:hideMark/>
          </w:tcPr>
          <w:p w14:paraId="4D3AB85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30-06-2023, no se registra ni avance ni cumplimiento. El auditado manifiesta que la actividad será reformulada, sin embargo, aún no se ha realizado la solicitud formal por lo tanto a la fecha de corte continua en nivel 0. </w:t>
            </w:r>
          </w:p>
        </w:tc>
      </w:tr>
      <w:tr w:rsidR="00853EB6" w:rsidRPr="00853EB6" w14:paraId="0ED64958" w14:textId="77777777" w:rsidTr="00853EB6">
        <w:trPr>
          <w:trHeight w:val="335"/>
        </w:trPr>
        <w:tc>
          <w:tcPr>
            <w:tcW w:w="2684" w:type="dxa"/>
            <w:shd w:val="clear" w:color="000000" w:fill="FFFFFF"/>
            <w:vAlign w:val="center"/>
            <w:hideMark/>
          </w:tcPr>
          <w:p w14:paraId="18619744" w14:textId="4968E3F9"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 6 – Acta inicio APP  0202 del 24-12-21. A abril 2022 la FGN y el Concesionario no han suscrito el acta de inicio para la sede en Cali; a su vez la FGN no la ha conminado a cumplir las actividades para su suscripción, a pesar de que el literal (a) del numeral “15.2 Eventos Generadores de Imposición de </w:t>
            </w:r>
            <w:r w:rsidRPr="00853EB6">
              <w:rPr>
                <w:rFonts w:ascii="Arial" w:eastAsia="Times New Roman" w:hAnsi="Arial" w:cs="Arial"/>
                <w:sz w:val="16"/>
                <w:szCs w:val="16"/>
                <w:lang w:eastAsia="es-CO"/>
              </w:rPr>
              <w:lastRenderedPageBreak/>
              <w:t>Multas”, establece la imposición de multa por no suscribir acta de inicio</w:t>
            </w:r>
          </w:p>
        </w:tc>
        <w:tc>
          <w:tcPr>
            <w:tcW w:w="1412" w:type="dxa"/>
            <w:shd w:val="clear" w:color="000000" w:fill="FFFFFF"/>
            <w:hideMark/>
          </w:tcPr>
          <w:p w14:paraId="72F4C5C5" w14:textId="77777777" w:rsidR="00853EB6" w:rsidRPr="00853EB6" w:rsidRDefault="00853EB6" w:rsidP="00853EB6">
            <w:pPr>
              <w:rPr>
                <w:rFonts w:ascii="Arial" w:eastAsia="Times New Roman" w:hAnsi="Arial" w:cs="Arial"/>
                <w:sz w:val="16"/>
                <w:szCs w:val="16"/>
                <w:lang w:eastAsia="es-CO"/>
              </w:rPr>
            </w:pPr>
            <w:r w:rsidRPr="00853EB6">
              <w:rPr>
                <w:rFonts w:ascii="Arial" w:eastAsia="Times New Roman" w:hAnsi="Arial" w:cs="Arial"/>
                <w:sz w:val="16"/>
                <w:szCs w:val="16"/>
                <w:lang w:eastAsia="es-CO"/>
              </w:rPr>
              <w:lastRenderedPageBreak/>
              <w:t xml:space="preserve">Inconsistencias en la información contenida en el plan parcial del Distrito de Santiago de Cali, con referencia a las áreas del predio donde se desarrollará el </w:t>
            </w:r>
            <w:r w:rsidRPr="00853EB6">
              <w:rPr>
                <w:rFonts w:ascii="Arial" w:eastAsia="Times New Roman" w:hAnsi="Arial" w:cs="Arial"/>
                <w:sz w:val="16"/>
                <w:szCs w:val="16"/>
                <w:lang w:eastAsia="es-CO"/>
              </w:rPr>
              <w:lastRenderedPageBreak/>
              <w:t>proyecto de la sede de la FGN en esa ciudad.</w:t>
            </w:r>
          </w:p>
        </w:tc>
        <w:tc>
          <w:tcPr>
            <w:tcW w:w="1635" w:type="dxa"/>
            <w:shd w:val="clear" w:color="000000" w:fill="FFFFFF"/>
            <w:hideMark/>
          </w:tcPr>
          <w:p w14:paraId="3AAA0485" w14:textId="131FD2A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lastRenderedPageBreak/>
              <w:t>Implementar mecanismos de control y evaluación en los requisitos mínimos, previo a la suscripción de contratos (etapa pre-contractual).</w:t>
            </w:r>
          </w:p>
        </w:tc>
        <w:tc>
          <w:tcPr>
            <w:tcW w:w="1910" w:type="dxa"/>
            <w:shd w:val="clear" w:color="000000" w:fill="FFFFFF"/>
            <w:hideMark/>
          </w:tcPr>
          <w:p w14:paraId="63A6C181" w14:textId="32517EEE"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Verificar bimestralmente de manera aleatoria los requisitos mínimos contenidos en los estudios previos.</w:t>
            </w:r>
          </w:p>
        </w:tc>
        <w:tc>
          <w:tcPr>
            <w:tcW w:w="1403" w:type="dxa"/>
            <w:shd w:val="clear" w:color="000000" w:fill="FFFFFF"/>
            <w:hideMark/>
          </w:tcPr>
          <w:p w14:paraId="0F5A5AC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verificación</w:t>
            </w:r>
          </w:p>
        </w:tc>
        <w:tc>
          <w:tcPr>
            <w:tcW w:w="692" w:type="dxa"/>
            <w:shd w:val="clear" w:color="000000" w:fill="FFFFFF"/>
            <w:hideMark/>
          </w:tcPr>
          <w:p w14:paraId="1858D01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6 </w:t>
            </w:r>
          </w:p>
        </w:tc>
        <w:tc>
          <w:tcPr>
            <w:tcW w:w="941" w:type="dxa"/>
            <w:shd w:val="clear" w:color="000000" w:fill="FFFFFF"/>
            <w:hideMark/>
          </w:tcPr>
          <w:p w14:paraId="2233053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1-ago-22</w:t>
            </w:r>
          </w:p>
        </w:tc>
        <w:tc>
          <w:tcPr>
            <w:tcW w:w="1047" w:type="dxa"/>
            <w:shd w:val="clear" w:color="000000" w:fill="FFFFFF"/>
            <w:hideMark/>
          </w:tcPr>
          <w:p w14:paraId="1A5C4EE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1-ago-23</w:t>
            </w:r>
          </w:p>
        </w:tc>
        <w:tc>
          <w:tcPr>
            <w:tcW w:w="879" w:type="dxa"/>
            <w:shd w:val="clear" w:color="000000" w:fill="FFFFFF"/>
            <w:hideMark/>
          </w:tcPr>
          <w:p w14:paraId="642EC2D7"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5</w:t>
            </w:r>
          </w:p>
        </w:tc>
        <w:tc>
          <w:tcPr>
            <w:tcW w:w="959" w:type="dxa"/>
            <w:shd w:val="clear" w:color="000000" w:fill="FFFFFF"/>
            <w:hideMark/>
          </w:tcPr>
          <w:p w14:paraId="70F58BD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83%</w:t>
            </w:r>
          </w:p>
        </w:tc>
        <w:tc>
          <w:tcPr>
            <w:tcW w:w="2053" w:type="dxa"/>
            <w:shd w:val="clear" w:color="000000" w:fill="FFFFFF"/>
            <w:hideMark/>
          </w:tcPr>
          <w:p w14:paraId="32FF7FC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30-06-2023 se evidenciaron los siguientes informes: Del 28-02-2023, presentándose a la Dirección el 3-03-2023, del 11/04/2023 y presentado a la Dirección 19/04/2023, del 20/06/2023 y presentado el 21/06/2023. Socialización informes </w:t>
            </w:r>
            <w:r w:rsidRPr="00853EB6">
              <w:rPr>
                <w:rFonts w:ascii="Arial" w:eastAsia="Times New Roman" w:hAnsi="Arial" w:cs="Arial"/>
                <w:sz w:val="16"/>
                <w:szCs w:val="16"/>
                <w:lang w:eastAsia="es-CO"/>
              </w:rPr>
              <w:lastRenderedPageBreak/>
              <w:t>bimensuales con los coordinadores contractuales de las Regionales del 12/05/2023.</w:t>
            </w:r>
          </w:p>
        </w:tc>
      </w:tr>
      <w:tr w:rsidR="00853EB6" w:rsidRPr="00853EB6" w14:paraId="0ED23107" w14:textId="77777777" w:rsidTr="00853EB6">
        <w:trPr>
          <w:trHeight w:val="2036"/>
        </w:trPr>
        <w:tc>
          <w:tcPr>
            <w:tcW w:w="2684" w:type="dxa"/>
            <w:shd w:val="clear" w:color="000000" w:fill="FFFFFF"/>
            <w:vAlign w:val="center"/>
            <w:hideMark/>
          </w:tcPr>
          <w:p w14:paraId="7E65D1F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lastRenderedPageBreak/>
              <w:t xml:space="preserve">H.  7. – Actividades Post Venta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Obra 0019 2021. En la obra “Terraza del Edificio C” </w:t>
            </w:r>
            <w:proofErr w:type="spellStart"/>
            <w:proofErr w:type="gram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0019</w:t>
            </w:r>
            <w:proofErr w:type="gramEnd"/>
            <w:r w:rsidRPr="00853EB6">
              <w:rPr>
                <w:rFonts w:ascii="Arial" w:eastAsia="Times New Roman" w:hAnsi="Arial" w:cs="Arial"/>
                <w:sz w:val="16"/>
                <w:szCs w:val="16"/>
                <w:lang w:eastAsia="es-CO"/>
              </w:rPr>
              <w:t>/21, se observó que en la cubierta de acceso a terraza y cocineta presenta un desprendimiento en un punto de soldadura, permitiendo filtración de agua, que puede generar deterioro prematuro en la cubierta. La FGN surtirá el proceso postventa para atender la situación.</w:t>
            </w:r>
          </w:p>
        </w:tc>
        <w:tc>
          <w:tcPr>
            <w:tcW w:w="1412" w:type="dxa"/>
            <w:shd w:val="clear" w:color="000000" w:fill="FFFFFF"/>
            <w:hideMark/>
          </w:tcPr>
          <w:p w14:paraId="23353A4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Situaciones que se presentan dentro del plazo de cobertura de la garantía de la estabilidad de obra.</w:t>
            </w:r>
          </w:p>
        </w:tc>
        <w:tc>
          <w:tcPr>
            <w:tcW w:w="1635" w:type="dxa"/>
            <w:shd w:val="clear" w:color="000000" w:fill="FFFFFF"/>
            <w:hideMark/>
          </w:tcPr>
          <w:p w14:paraId="34E3DE3A" w14:textId="53E7E519"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Promover la detección temprana de incidentes en infraestructura </w:t>
            </w:r>
            <w:r w:rsidR="00AC3818" w:rsidRPr="00853EB6">
              <w:rPr>
                <w:rFonts w:ascii="Arial" w:eastAsia="Times New Roman" w:hAnsi="Arial" w:cs="Arial"/>
                <w:sz w:val="16"/>
                <w:szCs w:val="16"/>
                <w:lang w:eastAsia="es-CO"/>
              </w:rPr>
              <w:t>física</w:t>
            </w:r>
            <w:r w:rsidRPr="00853EB6">
              <w:rPr>
                <w:rFonts w:ascii="Arial" w:eastAsia="Times New Roman" w:hAnsi="Arial" w:cs="Arial"/>
                <w:sz w:val="16"/>
                <w:szCs w:val="16"/>
                <w:lang w:eastAsia="es-CO"/>
              </w:rPr>
              <w:t xml:space="preserve"> que permita corregirlas de manera oportuna</w:t>
            </w:r>
          </w:p>
        </w:tc>
        <w:tc>
          <w:tcPr>
            <w:tcW w:w="1910" w:type="dxa"/>
            <w:shd w:val="clear" w:color="000000" w:fill="FFFFFF"/>
            <w:hideMark/>
          </w:tcPr>
          <w:p w14:paraId="088D697A" w14:textId="0DED72FF"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Realizar recorridos periódicos de Inspección para detectar posibles puntos de </w:t>
            </w:r>
            <w:r w:rsidR="00AC3818" w:rsidRPr="00853EB6">
              <w:rPr>
                <w:rFonts w:ascii="Arial" w:eastAsia="Times New Roman" w:hAnsi="Arial" w:cs="Arial"/>
                <w:sz w:val="16"/>
                <w:szCs w:val="16"/>
                <w:lang w:eastAsia="es-CO"/>
              </w:rPr>
              <w:t>afectación</w:t>
            </w:r>
            <w:r w:rsidRPr="00853EB6">
              <w:rPr>
                <w:rFonts w:ascii="Arial" w:eastAsia="Times New Roman" w:hAnsi="Arial" w:cs="Arial"/>
                <w:sz w:val="16"/>
                <w:szCs w:val="16"/>
                <w:lang w:eastAsia="es-CO"/>
              </w:rPr>
              <w:t>.</w:t>
            </w:r>
          </w:p>
        </w:tc>
        <w:tc>
          <w:tcPr>
            <w:tcW w:w="1403" w:type="dxa"/>
            <w:shd w:val="clear" w:color="000000" w:fill="FFFFFF"/>
            <w:hideMark/>
          </w:tcPr>
          <w:p w14:paraId="3414126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reporte</w:t>
            </w:r>
          </w:p>
        </w:tc>
        <w:tc>
          <w:tcPr>
            <w:tcW w:w="692" w:type="dxa"/>
            <w:shd w:val="clear" w:color="000000" w:fill="FFFFFF"/>
            <w:hideMark/>
          </w:tcPr>
          <w:p w14:paraId="01131C9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12 </w:t>
            </w:r>
          </w:p>
        </w:tc>
        <w:tc>
          <w:tcPr>
            <w:tcW w:w="941" w:type="dxa"/>
            <w:shd w:val="clear" w:color="000000" w:fill="FFFFFF"/>
            <w:hideMark/>
          </w:tcPr>
          <w:p w14:paraId="553D7E0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331918A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30-jun-23</w:t>
            </w:r>
          </w:p>
        </w:tc>
        <w:tc>
          <w:tcPr>
            <w:tcW w:w="879" w:type="dxa"/>
            <w:shd w:val="clear" w:color="000000" w:fill="FFFFFF"/>
            <w:hideMark/>
          </w:tcPr>
          <w:p w14:paraId="27C1C00B"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12</w:t>
            </w:r>
          </w:p>
        </w:tc>
        <w:tc>
          <w:tcPr>
            <w:tcW w:w="959" w:type="dxa"/>
            <w:shd w:val="clear" w:color="000000" w:fill="FFFFFF"/>
            <w:hideMark/>
          </w:tcPr>
          <w:p w14:paraId="4EF127C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4A0A790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30-06-2023 se evidenciaron los 12 informes por cada una de las Regionales de Apoyo y Nivel Central.</w:t>
            </w:r>
          </w:p>
        </w:tc>
      </w:tr>
      <w:tr w:rsidR="00853EB6" w:rsidRPr="00853EB6" w14:paraId="35E58F4B" w14:textId="77777777" w:rsidTr="00853EB6">
        <w:trPr>
          <w:trHeight w:val="4080"/>
        </w:trPr>
        <w:tc>
          <w:tcPr>
            <w:tcW w:w="2684" w:type="dxa"/>
            <w:shd w:val="clear" w:color="000000" w:fill="FFFFFF"/>
            <w:vAlign w:val="center"/>
            <w:hideMark/>
          </w:tcPr>
          <w:p w14:paraId="372B2C4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 8 Principio planeación intervención y adecuación edificios. Sedes Estrella y Montecarlo de </w:t>
            </w:r>
            <w:proofErr w:type="spellStart"/>
            <w:r w:rsidRPr="00853EB6">
              <w:rPr>
                <w:rFonts w:ascii="Arial" w:eastAsia="Times New Roman" w:hAnsi="Arial" w:cs="Arial"/>
                <w:sz w:val="16"/>
                <w:szCs w:val="16"/>
                <w:lang w:eastAsia="es-CO"/>
              </w:rPr>
              <w:t>Mllín</w:t>
            </w:r>
            <w:proofErr w:type="spellEnd"/>
            <w:r w:rsidRPr="00853EB6">
              <w:rPr>
                <w:rFonts w:ascii="Arial" w:eastAsia="Times New Roman" w:hAnsi="Arial" w:cs="Arial"/>
                <w:sz w:val="16"/>
                <w:szCs w:val="16"/>
                <w:lang w:eastAsia="es-CO"/>
              </w:rPr>
              <w:t>, se observó perforación en pared drywall con cables de datos y energía, fuera de canaleta; puntos de conexión de red de datos y eléctricos que no se encontraban en uso. En la Floresta-</w:t>
            </w:r>
            <w:proofErr w:type="spellStart"/>
            <w:r w:rsidRPr="00853EB6">
              <w:rPr>
                <w:rFonts w:ascii="Arial" w:eastAsia="Times New Roman" w:hAnsi="Arial" w:cs="Arial"/>
                <w:sz w:val="16"/>
                <w:szCs w:val="16"/>
                <w:lang w:eastAsia="es-CO"/>
              </w:rPr>
              <w:t>Mllín</w:t>
            </w:r>
            <w:proofErr w:type="spellEnd"/>
            <w:r w:rsidRPr="00853EB6">
              <w:rPr>
                <w:rFonts w:ascii="Arial" w:eastAsia="Times New Roman" w:hAnsi="Arial" w:cs="Arial"/>
                <w:sz w:val="16"/>
                <w:szCs w:val="16"/>
                <w:lang w:eastAsia="es-CO"/>
              </w:rPr>
              <w:t xml:space="preserve"> y </w:t>
            </w:r>
            <w:proofErr w:type="spellStart"/>
            <w:r w:rsidRPr="00853EB6">
              <w:rPr>
                <w:rFonts w:ascii="Arial" w:eastAsia="Times New Roman" w:hAnsi="Arial" w:cs="Arial"/>
                <w:sz w:val="16"/>
                <w:szCs w:val="16"/>
                <w:lang w:eastAsia="es-CO"/>
              </w:rPr>
              <w:t>Btá</w:t>
            </w:r>
            <w:proofErr w:type="spellEnd"/>
            <w:r w:rsidRPr="00853EB6">
              <w:rPr>
                <w:rFonts w:ascii="Arial" w:eastAsia="Times New Roman" w:hAnsi="Arial" w:cs="Arial"/>
                <w:sz w:val="16"/>
                <w:szCs w:val="16"/>
                <w:lang w:eastAsia="es-CO"/>
              </w:rPr>
              <w:t xml:space="preserve"> parte del mobiliario cubre puntos eléctricos o de datos.</w:t>
            </w:r>
          </w:p>
        </w:tc>
        <w:tc>
          <w:tcPr>
            <w:tcW w:w="1412" w:type="dxa"/>
            <w:shd w:val="clear" w:color="000000" w:fill="FFFFFF"/>
            <w:hideMark/>
          </w:tcPr>
          <w:p w14:paraId="0E4E6E79" w14:textId="3D4EEBB6"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Dificultad en la coordinación entre dependencia para la ejecución de las actividades, ya que no requieren los mismos tiempos de ejecución. Y/o modificación de la instalación inicial del puesto de trabajo por parte de los servidores. Adicionalmente la falta de acompañamiento a la </w:t>
            </w:r>
            <w:r w:rsidR="00AC3818" w:rsidRPr="00853EB6">
              <w:rPr>
                <w:rFonts w:ascii="Arial" w:eastAsia="Times New Roman" w:hAnsi="Arial" w:cs="Arial"/>
                <w:sz w:val="16"/>
                <w:szCs w:val="16"/>
                <w:lang w:eastAsia="es-CO"/>
              </w:rPr>
              <w:t>supervisión</w:t>
            </w:r>
            <w:r w:rsidRPr="00853EB6">
              <w:rPr>
                <w:rFonts w:ascii="Arial" w:eastAsia="Times New Roman" w:hAnsi="Arial" w:cs="Arial"/>
                <w:sz w:val="16"/>
                <w:szCs w:val="16"/>
                <w:lang w:eastAsia="es-CO"/>
              </w:rPr>
              <w:t xml:space="preserve"> de forma </w:t>
            </w:r>
            <w:r w:rsidR="00AC3818" w:rsidRPr="00853EB6">
              <w:rPr>
                <w:rFonts w:ascii="Arial" w:eastAsia="Times New Roman" w:hAnsi="Arial" w:cs="Arial"/>
                <w:sz w:val="16"/>
                <w:szCs w:val="16"/>
                <w:lang w:eastAsia="es-CO"/>
              </w:rPr>
              <w:t>periódica</w:t>
            </w:r>
            <w:r w:rsidRPr="00853EB6">
              <w:rPr>
                <w:rFonts w:ascii="Arial" w:eastAsia="Times New Roman" w:hAnsi="Arial" w:cs="Arial"/>
                <w:sz w:val="16"/>
                <w:szCs w:val="16"/>
                <w:lang w:eastAsia="es-CO"/>
              </w:rPr>
              <w:t xml:space="preserve"> en sitio, por parte de las dependencias involucradas</w:t>
            </w:r>
          </w:p>
        </w:tc>
        <w:tc>
          <w:tcPr>
            <w:tcW w:w="1635" w:type="dxa"/>
            <w:shd w:val="clear" w:color="000000" w:fill="FFFFFF"/>
            <w:hideMark/>
          </w:tcPr>
          <w:p w14:paraId="3C21055C" w14:textId="2B155F47" w:rsidR="00853EB6" w:rsidRPr="00853EB6" w:rsidRDefault="00853EB6" w:rsidP="00853EB6">
            <w:pPr>
              <w:spacing w:after="240"/>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campañas de sensibilización sobre el buen uso de las tomas eléctricas naranjas (reguladas) y blancas (normales), y la creación de tickets a través de la mesa de ayuda para el soporte técnico de la infraestructura de cableado estructurado (eléctricos, datos y canaletas) con el apoyo de la Dirección de Comunicaciones para que estos sean divulgados a nivel nacional.</w:t>
            </w:r>
            <w:r w:rsidRPr="00853EB6">
              <w:rPr>
                <w:rFonts w:ascii="Arial" w:eastAsia="Times New Roman" w:hAnsi="Arial" w:cs="Arial"/>
                <w:sz w:val="16"/>
                <w:szCs w:val="16"/>
                <w:lang w:eastAsia="es-CO"/>
              </w:rPr>
              <w:br/>
            </w:r>
            <w:r w:rsidRPr="00853EB6">
              <w:rPr>
                <w:rFonts w:ascii="Arial" w:eastAsia="Times New Roman" w:hAnsi="Arial" w:cs="Arial"/>
                <w:sz w:val="16"/>
                <w:szCs w:val="16"/>
                <w:lang w:eastAsia="es-CO"/>
              </w:rPr>
              <w:br/>
            </w:r>
          </w:p>
        </w:tc>
        <w:tc>
          <w:tcPr>
            <w:tcW w:w="1910" w:type="dxa"/>
            <w:shd w:val="clear" w:color="000000" w:fill="FFFFFF"/>
            <w:hideMark/>
          </w:tcPr>
          <w:p w14:paraId="3AF86FFA" w14:textId="3C7E84F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Difundir a </w:t>
            </w:r>
            <w:r w:rsidR="00AC3818" w:rsidRPr="00853EB6">
              <w:rPr>
                <w:rFonts w:ascii="Arial" w:eastAsia="Times New Roman" w:hAnsi="Arial" w:cs="Arial"/>
                <w:sz w:val="16"/>
                <w:szCs w:val="16"/>
                <w:lang w:eastAsia="es-CO"/>
              </w:rPr>
              <w:t>través</w:t>
            </w:r>
            <w:r w:rsidRPr="00853EB6">
              <w:rPr>
                <w:rFonts w:ascii="Arial" w:eastAsia="Times New Roman" w:hAnsi="Arial" w:cs="Arial"/>
                <w:sz w:val="16"/>
                <w:szCs w:val="16"/>
                <w:lang w:eastAsia="es-CO"/>
              </w:rPr>
              <w:t xml:space="preserve"> de correo masivo a nivel nacional y a </w:t>
            </w:r>
            <w:r w:rsidR="00AC3818" w:rsidRPr="00853EB6">
              <w:rPr>
                <w:rFonts w:ascii="Arial" w:eastAsia="Times New Roman" w:hAnsi="Arial" w:cs="Arial"/>
                <w:sz w:val="16"/>
                <w:szCs w:val="16"/>
                <w:lang w:eastAsia="es-CO"/>
              </w:rPr>
              <w:t>través</w:t>
            </w:r>
            <w:r w:rsidRPr="00853EB6">
              <w:rPr>
                <w:rFonts w:ascii="Arial" w:eastAsia="Times New Roman" w:hAnsi="Arial" w:cs="Arial"/>
                <w:sz w:val="16"/>
                <w:szCs w:val="16"/>
                <w:lang w:eastAsia="es-CO"/>
              </w:rPr>
              <w:t xml:space="preserve"> de la Fiscalnet </w:t>
            </w:r>
            <w:proofErr w:type="spellStart"/>
            <w:r w:rsidRPr="00853EB6">
              <w:rPr>
                <w:rFonts w:ascii="Arial" w:eastAsia="Times New Roman" w:hAnsi="Arial" w:cs="Arial"/>
                <w:sz w:val="16"/>
                <w:szCs w:val="16"/>
                <w:lang w:eastAsia="es-CO"/>
              </w:rPr>
              <w:t>tips</w:t>
            </w:r>
            <w:proofErr w:type="spellEnd"/>
            <w:r w:rsidRPr="00853EB6">
              <w:rPr>
                <w:rFonts w:ascii="Arial" w:eastAsia="Times New Roman" w:hAnsi="Arial" w:cs="Arial"/>
                <w:sz w:val="16"/>
                <w:szCs w:val="16"/>
                <w:lang w:eastAsia="es-CO"/>
              </w:rPr>
              <w:t xml:space="preserve"> de sensibilización sobre buenas </w:t>
            </w:r>
            <w:r w:rsidR="00AC3818" w:rsidRPr="00853EB6">
              <w:rPr>
                <w:rFonts w:ascii="Arial" w:eastAsia="Times New Roman" w:hAnsi="Arial" w:cs="Arial"/>
                <w:sz w:val="16"/>
                <w:szCs w:val="16"/>
                <w:lang w:eastAsia="es-CO"/>
              </w:rPr>
              <w:t>prácticas</w:t>
            </w:r>
            <w:r w:rsidRPr="00853EB6">
              <w:rPr>
                <w:rFonts w:ascii="Arial" w:eastAsia="Times New Roman" w:hAnsi="Arial" w:cs="Arial"/>
                <w:sz w:val="16"/>
                <w:szCs w:val="16"/>
                <w:lang w:eastAsia="es-CO"/>
              </w:rPr>
              <w:t xml:space="preserve"> y solicitud de servicios a </w:t>
            </w:r>
            <w:r w:rsidR="00AC3818" w:rsidRPr="00853EB6">
              <w:rPr>
                <w:rFonts w:ascii="Arial" w:eastAsia="Times New Roman" w:hAnsi="Arial" w:cs="Arial"/>
                <w:sz w:val="16"/>
                <w:szCs w:val="16"/>
                <w:lang w:eastAsia="es-CO"/>
              </w:rPr>
              <w:t>través</w:t>
            </w:r>
            <w:r w:rsidRPr="00853EB6">
              <w:rPr>
                <w:rFonts w:ascii="Arial" w:eastAsia="Times New Roman" w:hAnsi="Arial" w:cs="Arial"/>
                <w:sz w:val="16"/>
                <w:szCs w:val="16"/>
                <w:lang w:eastAsia="es-CO"/>
              </w:rPr>
              <w:t xml:space="preserve"> de mesa de ayuda con el ticket</w:t>
            </w:r>
            <w:r>
              <w:rPr>
                <w:rFonts w:ascii="Arial" w:eastAsia="Times New Roman" w:hAnsi="Arial" w:cs="Arial"/>
                <w:sz w:val="16"/>
                <w:szCs w:val="16"/>
                <w:lang w:eastAsia="es-CO"/>
              </w:rPr>
              <w:t>.</w:t>
            </w:r>
          </w:p>
        </w:tc>
        <w:tc>
          <w:tcPr>
            <w:tcW w:w="1403" w:type="dxa"/>
            <w:shd w:val="clear" w:color="000000" w:fill="FFFFFF"/>
            <w:hideMark/>
          </w:tcPr>
          <w:p w14:paraId="67EC96EB" w14:textId="68D58C4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Correo masivo y banner en Fiscal net</w:t>
            </w:r>
          </w:p>
        </w:tc>
        <w:tc>
          <w:tcPr>
            <w:tcW w:w="692" w:type="dxa"/>
            <w:shd w:val="clear" w:color="000000" w:fill="FFFFFF"/>
            <w:hideMark/>
          </w:tcPr>
          <w:p w14:paraId="7A66B20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50C9802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5D46338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1-jul-23</w:t>
            </w:r>
          </w:p>
        </w:tc>
        <w:tc>
          <w:tcPr>
            <w:tcW w:w="879" w:type="dxa"/>
            <w:shd w:val="clear" w:color="000000" w:fill="FFFFFF"/>
            <w:hideMark/>
          </w:tcPr>
          <w:p w14:paraId="5BDB9042"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113A09B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A6027D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30-06-2023 se evidenció correo masivo del 31/01/2023 "Necesitas instalar o trasladar nuevos puntos de red para tu puesto trabajo”, 2-02-2023 "Necesitas instalar o trasladar nuevos puntos de red para tu puesto trabajo", correo del 1-03-2023 "atención evita fallas eléctricas", correo del 19/5/2023 "¿sabes cómo evitar una falla eléctrica en tu puesto de trabajo?</w:t>
            </w:r>
          </w:p>
        </w:tc>
      </w:tr>
      <w:tr w:rsidR="00853EB6" w:rsidRPr="00853EB6" w14:paraId="5702734E" w14:textId="77777777" w:rsidTr="00853EB6">
        <w:trPr>
          <w:trHeight w:val="4080"/>
        </w:trPr>
        <w:tc>
          <w:tcPr>
            <w:tcW w:w="2684" w:type="dxa"/>
            <w:shd w:val="clear" w:color="000000" w:fill="FFFFFF"/>
            <w:vAlign w:val="center"/>
            <w:hideMark/>
          </w:tcPr>
          <w:p w14:paraId="1F6C147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lastRenderedPageBreak/>
              <w:t xml:space="preserve">H. 9. Políticas Uso y preservación infraestructura red datos y su divulgación.  Sedes Estrella y Montecarlo de </w:t>
            </w:r>
            <w:proofErr w:type="spellStart"/>
            <w:r w:rsidRPr="00853EB6">
              <w:rPr>
                <w:rFonts w:ascii="Arial" w:eastAsia="Times New Roman" w:hAnsi="Arial" w:cs="Arial"/>
                <w:sz w:val="16"/>
                <w:szCs w:val="16"/>
                <w:lang w:eastAsia="es-CO"/>
              </w:rPr>
              <w:t>Mllín</w:t>
            </w:r>
            <w:proofErr w:type="spellEnd"/>
            <w:r w:rsidRPr="00853EB6">
              <w:rPr>
                <w:rFonts w:ascii="Arial" w:eastAsia="Times New Roman" w:hAnsi="Arial" w:cs="Arial"/>
                <w:sz w:val="16"/>
                <w:szCs w:val="16"/>
                <w:lang w:eastAsia="es-CO"/>
              </w:rPr>
              <w:t>, se observó perforación en pared drywall con cables de datos y energía, fuera de canaleta; puntos de conexión de red de datos y eléctricos que no se encontraban en uso. En la Floresta-</w:t>
            </w:r>
            <w:proofErr w:type="spellStart"/>
            <w:r w:rsidRPr="00853EB6">
              <w:rPr>
                <w:rFonts w:ascii="Arial" w:eastAsia="Times New Roman" w:hAnsi="Arial" w:cs="Arial"/>
                <w:sz w:val="16"/>
                <w:szCs w:val="16"/>
                <w:lang w:eastAsia="es-CO"/>
              </w:rPr>
              <w:t>Mllín</w:t>
            </w:r>
            <w:proofErr w:type="spellEnd"/>
            <w:r w:rsidRPr="00853EB6">
              <w:rPr>
                <w:rFonts w:ascii="Arial" w:eastAsia="Times New Roman" w:hAnsi="Arial" w:cs="Arial"/>
                <w:sz w:val="16"/>
                <w:szCs w:val="16"/>
                <w:lang w:eastAsia="es-CO"/>
              </w:rPr>
              <w:t xml:space="preserve"> y </w:t>
            </w:r>
            <w:proofErr w:type="spellStart"/>
            <w:r w:rsidRPr="00853EB6">
              <w:rPr>
                <w:rFonts w:ascii="Arial" w:eastAsia="Times New Roman" w:hAnsi="Arial" w:cs="Arial"/>
                <w:sz w:val="16"/>
                <w:szCs w:val="16"/>
                <w:lang w:eastAsia="es-CO"/>
              </w:rPr>
              <w:t>Btá</w:t>
            </w:r>
            <w:proofErr w:type="spellEnd"/>
            <w:r w:rsidRPr="00853EB6">
              <w:rPr>
                <w:rFonts w:ascii="Arial" w:eastAsia="Times New Roman" w:hAnsi="Arial" w:cs="Arial"/>
                <w:sz w:val="16"/>
                <w:szCs w:val="16"/>
                <w:lang w:eastAsia="es-CO"/>
              </w:rPr>
              <w:t xml:space="preserve"> parte del mobiliario cubre puntos eléctricos o de datos.</w:t>
            </w:r>
          </w:p>
        </w:tc>
        <w:tc>
          <w:tcPr>
            <w:tcW w:w="1412" w:type="dxa"/>
            <w:shd w:val="clear" w:color="000000" w:fill="FFFFFF"/>
            <w:hideMark/>
          </w:tcPr>
          <w:p w14:paraId="1058EFD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Los eventos presentados no son reportados por los usuarios a través de la mesa ayuda, y que no se ha estructurado una gestión del cambio para efectuar la divulgación y orientación entre los usuarios, quienes en su gran mayoría no poseen un perfil técnico relacionado con las tecnologías de la información.</w:t>
            </w:r>
          </w:p>
        </w:tc>
        <w:tc>
          <w:tcPr>
            <w:tcW w:w="1635" w:type="dxa"/>
            <w:shd w:val="clear" w:color="000000" w:fill="FFFFFF"/>
            <w:hideMark/>
          </w:tcPr>
          <w:p w14:paraId="5B60BE76" w14:textId="7A310A5D" w:rsidR="00853EB6" w:rsidRPr="00853EB6" w:rsidRDefault="00853EB6" w:rsidP="00853EB6">
            <w:pPr>
              <w:spacing w:after="240"/>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campañas de sensibilización sobre el buen uso de las tomas eléctricas naranjas (reguladas) y blancas (normales), y la creación de tickets a través de la mesa de ayuda para el soporte técnico de la infraestructura de cableado estructurado (eléctricos, datos y canaletas) con el apoyo de la Dirección de Comunicaciones para que estos sean divulgados a nivel nacional.</w:t>
            </w:r>
            <w:r w:rsidRPr="00853EB6">
              <w:rPr>
                <w:rFonts w:ascii="Arial" w:eastAsia="Times New Roman" w:hAnsi="Arial" w:cs="Arial"/>
                <w:sz w:val="16"/>
                <w:szCs w:val="16"/>
                <w:lang w:eastAsia="es-CO"/>
              </w:rPr>
              <w:br/>
            </w:r>
            <w:r w:rsidRPr="00853EB6">
              <w:rPr>
                <w:rFonts w:ascii="Arial" w:eastAsia="Times New Roman" w:hAnsi="Arial" w:cs="Arial"/>
                <w:sz w:val="16"/>
                <w:szCs w:val="16"/>
                <w:lang w:eastAsia="es-CO"/>
              </w:rPr>
              <w:br/>
            </w:r>
          </w:p>
        </w:tc>
        <w:tc>
          <w:tcPr>
            <w:tcW w:w="1910" w:type="dxa"/>
            <w:shd w:val="clear" w:color="000000" w:fill="FFFFFF"/>
            <w:hideMark/>
          </w:tcPr>
          <w:p w14:paraId="6A34ACBA" w14:textId="4FCA48A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Difundir a </w:t>
            </w:r>
            <w:r w:rsidR="00AC3818" w:rsidRPr="00853EB6">
              <w:rPr>
                <w:rFonts w:ascii="Arial" w:eastAsia="Times New Roman" w:hAnsi="Arial" w:cs="Arial"/>
                <w:sz w:val="16"/>
                <w:szCs w:val="16"/>
                <w:lang w:eastAsia="es-CO"/>
              </w:rPr>
              <w:t>través</w:t>
            </w:r>
            <w:r w:rsidRPr="00853EB6">
              <w:rPr>
                <w:rFonts w:ascii="Arial" w:eastAsia="Times New Roman" w:hAnsi="Arial" w:cs="Arial"/>
                <w:sz w:val="16"/>
                <w:szCs w:val="16"/>
                <w:lang w:eastAsia="es-CO"/>
              </w:rPr>
              <w:t xml:space="preserve"> de correo masivo a nivel nacional y a </w:t>
            </w:r>
            <w:r w:rsidR="00AC3818" w:rsidRPr="00853EB6">
              <w:rPr>
                <w:rFonts w:ascii="Arial" w:eastAsia="Times New Roman" w:hAnsi="Arial" w:cs="Arial"/>
                <w:sz w:val="16"/>
                <w:szCs w:val="16"/>
                <w:lang w:eastAsia="es-CO"/>
              </w:rPr>
              <w:t>través</w:t>
            </w:r>
            <w:r w:rsidRPr="00853EB6">
              <w:rPr>
                <w:rFonts w:ascii="Arial" w:eastAsia="Times New Roman" w:hAnsi="Arial" w:cs="Arial"/>
                <w:sz w:val="16"/>
                <w:szCs w:val="16"/>
                <w:lang w:eastAsia="es-CO"/>
              </w:rPr>
              <w:t xml:space="preserve"> de la Fiscalnet </w:t>
            </w:r>
            <w:proofErr w:type="spellStart"/>
            <w:r w:rsidRPr="00853EB6">
              <w:rPr>
                <w:rFonts w:ascii="Arial" w:eastAsia="Times New Roman" w:hAnsi="Arial" w:cs="Arial"/>
                <w:sz w:val="16"/>
                <w:szCs w:val="16"/>
                <w:lang w:eastAsia="es-CO"/>
              </w:rPr>
              <w:t>tips</w:t>
            </w:r>
            <w:proofErr w:type="spellEnd"/>
            <w:r w:rsidRPr="00853EB6">
              <w:rPr>
                <w:rFonts w:ascii="Arial" w:eastAsia="Times New Roman" w:hAnsi="Arial" w:cs="Arial"/>
                <w:sz w:val="16"/>
                <w:szCs w:val="16"/>
                <w:lang w:eastAsia="es-CO"/>
              </w:rPr>
              <w:t xml:space="preserve"> de sensibilización sobre buenas </w:t>
            </w:r>
            <w:r w:rsidR="00AC3818" w:rsidRPr="00853EB6">
              <w:rPr>
                <w:rFonts w:ascii="Arial" w:eastAsia="Times New Roman" w:hAnsi="Arial" w:cs="Arial"/>
                <w:sz w:val="16"/>
                <w:szCs w:val="16"/>
                <w:lang w:eastAsia="es-CO"/>
              </w:rPr>
              <w:t>prácticas</w:t>
            </w:r>
            <w:r w:rsidRPr="00853EB6">
              <w:rPr>
                <w:rFonts w:ascii="Arial" w:eastAsia="Times New Roman" w:hAnsi="Arial" w:cs="Arial"/>
                <w:sz w:val="16"/>
                <w:szCs w:val="16"/>
                <w:lang w:eastAsia="es-CO"/>
              </w:rPr>
              <w:t xml:space="preserve"> y solicitud de servicios a </w:t>
            </w:r>
            <w:r w:rsidR="00AC3818" w:rsidRPr="00853EB6">
              <w:rPr>
                <w:rFonts w:ascii="Arial" w:eastAsia="Times New Roman" w:hAnsi="Arial" w:cs="Arial"/>
                <w:sz w:val="16"/>
                <w:szCs w:val="16"/>
                <w:lang w:eastAsia="es-CO"/>
              </w:rPr>
              <w:t>través</w:t>
            </w:r>
            <w:r w:rsidRPr="00853EB6">
              <w:rPr>
                <w:rFonts w:ascii="Arial" w:eastAsia="Times New Roman" w:hAnsi="Arial" w:cs="Arial"/>
                <w:sz w:val="16"/>
                <w:szCs w:val="16"/>
                <w:lang w:eastAsia="es-CO"/>
              </w:rPr>
              <w:t xml:space="preserve"> de mesa de ayuda con el ticket</w:t>
            </w:r>
          </w:p>
        </w:tc>
        <w:tc>
          <w:tcPr>
            <w:tcW w:w="1403" w:type="dxa"/>
            <w:shd w:val="clear" w:color="000000" w:fill="FFFFFF"/>
            <w:hideMark/>
          </w:tcPr>
          <w:p w14:paraId="01D3447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Correo masivo y banner en Fiscalnet</w:t>
            </w:r>
          </w:p>
        </w:tc>
        <w:tc>
          <w:tcPr>
            <w:tcW w:w="692" w:type="dxa"/>
            <w:shd w:val="clear" w:color="000000" w:fill="FFFFFF"/>
            <w:hideMark/>
          </w:tcPr>
          <w:p w14:paraId="20F694D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2EB8255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697D5E6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1-jul-23</w:t>
            </w:r>
          </w:p>
        </w:tc>
        <w:tc>
          <w:tcPr>
            <w:tcW w:w="879" w:type="dxa"/>
            <w:shd w:val="clear" w:color="000000" w:fill="FFFFFF"/>
            <w:hideMark/>
          </w:tcPr>
          <w:p w14:paraId="363707D7"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78349CC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286C1F8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30-06-2023 se evidenció correo masivo del 31/01/2023 "Necesitas instalar o trasladar nuevos puntos de red para tu puesto trabajo”, 2-02-2023 "Necesitas instalar o trasladar nuevos puntos de red para tu puesto trabajo", correo del 1-03-2023 "atención evita fallas eléctricas", correo del 19/5/2023 "¿sabes cómo evitar una falla eléctrica en tu puesto de trabajo?"</w:t>
            </w:r>
          </w:p>
        </w:tc>
      </w:tr>
      <w:tr w:rsidR="00853EB6" w:rsidRPr="00853EB6" w14:paraId="276E9382" w14:textId="77777777" w:rsidTr="00853EB6">
        <w:trPr>
          <w:trHeight w:val="3360"/>
        </w:trPr>
        <w:tc>
          <w:tcPr>
            <w:tcW w:w="2684" w:type="dxa"/>
            <w:shd w:val="clear" w:color="000000" w:fill="FFFFFF"/>
            <w:vAlign w:val="center"/>
            <w:hideMark/>
          </w:tcPr>
          <w:p w14:paraId="1C422D3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 10. Priorización actualización SPOA y </w:t>
            </w:r>
            <w:proofErr w:type="spellStart"/>
            <w:r w:rsidRPr="00853EB6">
              <w:rPr>
                <w:rFonts w:ascii="Arial" w:eastAsia="Times New Roman" w:hAnsi="Arial" w:cs="Arial"/>
                <w:sz w:val="16"/>
                <w:szCs w:val="16"/>
                <w:lang w:eastAsia="es-CO"/>
              </w:rPr>
              <w:t>rpta</w:t>
            </w:r>
            <w:proofErr w:type="spellEnd"/>
            <w:r w:rsidRPr="00853EB6">
              <w:rPr>
                <w:rFonts w:ascii="Arial" w:eastAsia="Times New Roman" w:hAnsi="Arial" w:cs="Arial"/>
                <w:sz w:val="16"/>
                <w:szCs w:val="16"/>
                <w:lang w:eastAsia="es-CO"/>
              </w:rPr>
              <w:t xml:space="preserve"> incidentes. En sedes URI y Fiscalías Especializadas, se han presentado intermitencias y congestión en servicio de módulos del SPOA en febrero y marzo de 2022, novedad que usuarios de los mismos módulos y funcionalidades del sistema, experimentaron de varias sedes.</w:t>
            </w:r>
          </w:p>
        </w:tc>
        <w:tc>
          <w:tcPr>
            <w:tcW w:w="1412" w:type="dxa"/>
            <w:shd w:val="clear" w:color="000000" w:fill="FFFFFF"/>
            <w:hideMark/>
          </w:tcPr>
          <w:p w14:paraId="31CDE54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Existen módulos y funcionalidades del SPOA que no se han migrado a nueva versión, por lo que </w:t>
            </w:r>
            <w:proofErr w:type="spellStart"/>
            <w:r w:rsidRPr="00853EB6">
              <w:rPr>
                <w:rFonts w:ascii="Arial" w:eastAsia="Times New Roman" w:hAnsi="Arial" w:cs="Arial"/>
                <w:sz w:val="16"/>
                <w:szCs w:val="16"/>
                <w:lang w:eastAsia="es-CO"/>
              </w:rPr>
              <w:t>SubTICS</w:t>
            </w:r>
            <w:proofErr w:type="spellEnd"/>
            <w:r w:rsidRPr="00853EB6">
              <w:rPr>
                <w:rFonts w:ascii="Arial" w:eastAsia="Times New Roman" w:hAnsi="Arial" w:cs="Arial"/>
                <w:sz w:val="16"/>
                <w:szCs w:val="16"/>
                <w:lang w:eastAsia="es-CO"/>
              </w:rPr>
              <w:t xml:space="preserve"> formuló proyecto fábrica de software para 2021 por $1.877 millones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No. 064 que finalizó el 3-12-21. Transcurridos 4 meses desde su finalización el proyecto no ha continuado porque no se ha dado trámite al contrato respectivo.</w:t>
            </w:r>
          </w:p>
        </w:tc>
        <w:tc>
          <w:tcPr>
            <w:tcW w:w="1635" w:type="dxa"/>
            <w:shd w:val="clear" w:color="000000" w:fill="FFFFFF"/>
            <w:hideMark/>
          </w:tcPr>
          <w:p w14:paraId="4A89F5D9" w14:textId="0A92941D" w:rsidR="00853EB6" w:rsidRPr="00853EB6" w:rsidRDefault="00853EB6" w:rsidP="00853EB6">
            <w:pPr>
              <w:spacing w:after="240"/>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Continuar con la atención de los bugs reportados a través de las ventanas de mantenimiento periódicas y soporte para atender los incidentes del Sistema Misional SPOA con la capacidad disponible de la Entidad.  Con el contrato de fábrica de software con vigencia anual se fortalece la capacidad de atención y tiempos de respuesta a los requerimientos. </w:t>
            </w:r>
          </w:p>
        </w:tc>
        <w:tc>
          <w:tcPr>
            <w:tcW w:w="1910" w:type="dxa"/>
            <w:shd w:val="clear" w:color="000000" w:fill="FFFFFF"/>
            <w:hideMark/>
          </w:tcPr>
          <w:p w14:paraId="610D439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ajustes sobre las fallas reportadas por los usuarios del Sistema Misional SPOA.</w:t>
            </w:r>
          </w:p>
        </w:tc>
        <w:tc>
          <w:tcPr>
            <w:tcW w:w="1403" w:type="dxa"/>
            <w:shd w:val="clear" w:color="000000" w:fill="FFFFFF"/>
            <w:hideMark/>
          </w:tcPr>
          <w:p w14:paraId="54E5C40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Reporte mensual que registre los bugs reportados y atendidos</w:t>
            </w:r>
          </w:p>
        </w:tc>
        <w:tc>
          <w:tcPr>
            <w:tcW w:w="692" w:type="dxa"/>
            <w:shd w:val="clear" w:color="000000" w:fill="FFFFFF"/>
            <w:hideMark/>
          </w:tcPr>
          <w:p w14:paraId="0D9E1CC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05C2EF2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225CDA5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31-dic-22</w:t>
            </w:r>
          </w:p>
        </w:tc>
        <w:tc>
          <w:tcPr>
            <w:tcW w:w="879" w:type="dxa"/>
            <w:shd w:val="clear" w:color="000000" w:fill="FFFFFF"/>
            <w:hideMark/>
          </w:tcPr>
          <w:p w14:paraId="5C603283"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717EB6B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B715FA1" w14:textId="77777777" w:rsidR="00853EB6" w:rsidRPr="00853EB6" w:rsidRDefault="00853EB6" w:rsidP="00853EB6">
            <w:pPr>
              <w:jc w:val="both"/>
              <w:rPr>
                <w:rFonts w:ascii="Arial" w:eastAsia="Times New Roman" w:hAnsi="Arial" w:cs="Arial"/>
                <w:sz w:val="16"/>
                <w:szCs w:val="16"/>
                <w:lang w:eastAsia="es-CO"/>
              </w:rPr>
            </w:pPr>
            <w:proofErr w:type="spellStart"/>
            <w:r w:rsidRPr="00853EB6">
              <w:rPr>
                <w:rFonts w:ascii="Arial" w:eastAsia="Times New Roman" w:hAnsi="Arial" w:cs="Arial"/>
                <w:sz w:val="16"/>
                <w:szCs w:val="16"/>
                <w:lang w:eastAsia="es-CO"/>
              </w:rPr>
              <w:t>Cor</w:t>
            </w:r>
            <w:proofErr w:type="spellEnd"/>
            <w:r w:rsidRPr="00853EB6">
              <w:rPr>
                <w:rFonts w:ascii="Arial" w:eastAsia="Times New Roman" w:hAnsi="Arial" w:cs="Arial"/>
                <w:sz w:val="16"/>
                <w:szCs w:val="16"/>
                <w:lang w:eastAsia="es-CO"/>
              </w:rPr>
              <w:t xml:space="preserve"> corte 30-06-2023 se evidenció: Matriz Excel que relaciona "hallazgos" con descripción y solución casos de julio, agosto, septiembre, octubre, noviembre y diciembre de 2022 del periodo del PM. El auditado indica que existe el GITLAB herramienta para registro de necesidades, documentación, tareas y resultados, Matriz MTO resultado de mesas de trabajo previos al contrato de fábrica.</w:t>
            </w:r>
          </w:p>
        </w:tc>
      </w:tr>
      <w:tr w:rsidR="00853EB6" w:rsidRPr="00853EB6" w14:paraId="60731313" w14:textId="77777777" w:rsidTr="00853EB6">
        <w:trPr>
          <w:trHeight w:val="2295"/>
        </w:trPr>
        <w:tc>
          <w:tcPr>
            <w:tcW w:w="2684" w:type="dxa"/>
            <w:shd w:val="clear" w:color="000000" w:fill="FFFFFF"/>
            <w:vAlign w:val="center"/>
            <w:hideMark/>
          </w:tcPr>
          <w:p w14:paraId="79B80A42" w14:textId="1D5AD2D2"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lastRenderedPageBreak/>
              <w:t xml:space="preserve">H. 12. Intervención Edificio Montecarlo - Envigado. Se identificó: humedades con riesgo de afectación eléctrica, dispositivos electrónicos y limite en uso del área de incidencia. Intervención de techo con deficiencias. Sede con mejoras recientes y con novedades informadas al contratista desde el año pasado, sin que se haya </w:t>
            </w:r>
            <w:r w:rsidR="00AC3818" w:rsidRPr="00853EB6">
              <w:rPr>
                <w:rFonts w:ascii="Arial" w:eastAsia="Times New Roman" w:hAnsi="Arial" w:cs="Arial"/>
                <w:sz w:val="16"/>
                <w:szCs w:val="16"/>
                <w:lang w:eastAsia="es-CO"/>
              </w:rPr>
              <w:t>corrección</w:t>
            </w:r>
            <w:r w:rsidRPr="00853EB6">
              <w:rPr>
                <w:rFonts w:ascii="Arial" w:eastAsia="Times New Roman" w:hAnsi="Arial" w:cs="Arial"/>
                <w:sz w:val="16"/>
                <w:szCs w:val="16"/>
                <w:lang w:eastAsia="es-CO"/>
              </w:rPr>
              <w:t xml:space="preserve"> eficiente.</w:t>
            </w:r>
          </w:p>
        </w:tc>
        <w:tc>
          <w:tcPr>
            <w:tcW w:w="1412" w:type="dxa"/>
            <w:shd w:val="clear" w:color="000000" w:fill="FFFFFF"/>
            <w:hideMark/>
          </w:tcPr>
          <w:p w14:paraId="246E718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Situaciones que se presentan dentro del plazo de garantía de la estabilidad de obra, posterior a la finalización de un contrato de obra.</w:t>
            </w:r>
          </w:p>
        </w:tc>
        <w:tc>
          <w:tcPr>
            <w:tcW w:w="1635" w:type="dxa"/>
            <w:shd w:val="clear" w:color="000000" w:fill="FFFFFF"/>
            <w:hideMark/>
          </w:tcPr>
          <w:p w14:paraId="2816930A" w14:textId="495126E1"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Promover la detección temprana de incidentes en infraestructura </w:t>
            </w:r>
            <w:r w:rsidR="00AC3818" w:rsidRPr="00853EB6">
              <w:rPr>
                <w:rFonts w:ascii="Arial" w:eastAsia="Times New Roman" w:hAnsi="Arial" w:cs="Arial"/>
                <w:sz w:val="16"/>
                <w:szCs w:val="16"/>
                <w:lang w:eastAsia="es-CO"/>
              </w:rPr>
              <w:t>física</w:t>
            </w:r>
            <w:r w:rsidRPr="00853EB6">
              <w:rPr>
                <w:rFonts w:ascii="Arial" w:eastAsia="Times New Roman" w:hAnsi="Arial" w:cs="Arial"/>
                <w:sz w:val="16"/>
                <w:szCs w:val="16"/>
                <w:lang w:eastAsia="es-CO"/>
              </w:rPr>
              <w:t xml:space="preserve"> que permita corregirlas de manera oportuna a Nivel Nacional</w:t>
            </w:r>
          </w:p>
        </w:tc>
        <w:tc>
          <w:tcPr>
            <w:tcW w:w="1910" w:type="dxa"/>
            <w:shd w:val="clear" w:color="000000" w:fill="FFFFFF"/>
            <w:hideMark/>
          </w:tcPr>
          <w:p w14:paraId="61307A9C" w14:textId="525B6CFE"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Realizar recorridos periódicos de Inspección para detectar posibles puntos de </w:t>
            </w:r>
            <w:r w:rsidR="00AC3818" w:rsidRPr="00853EB6">
              <w:rPr>
                <w:rFonts w:ascii="Arial" w:eastAsia="Times New Roman" w:hAnsi="Arial" w:cs="Arial"/>
                <w:sz w:val="16"/>
                <w:szCs w:val="16"/>
                <w:lang w:eastAsia="es-CO"/>
              </w:rPr>
              <w:t>afectación</w:t>
            </w:r>
            <w:r w:rsidRPr="00853EB6">
              <w:rPr>
                <w:rFonts w:ascii="Arial" w:eastAsia="Times New Roman" w:hAnsi="Arial" w:cs="Arial"/>
                <w:sz w:val="16"/>
                <w:szCs w:val="16"/>
                <w:lang w:eastAsia="es-CO"/>
              </w:rPr>
              <w:t>.</w:t>
            </w:r>
          </w:p>
        </w:tc>
        <w:tc>
          <w:tcPr>
            <w:tcW w:w="1403" w:type="dxa"/>
            <w:shd w:val="clear" w:color="000000" w:fill="FFFFFF"/>
            <w:hideMark/>
          </w:tcPr>
          <w:p w14:paraId="1BDCAAC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reporte</w:t>
            </w:r>
          </w:p>
        </w:tc>
        <w:tc>
          <w:tcPr>
            <w:tcW w:w="692" w:type="dxa"/>
            <w:shd w:val="clear" w:color="000000" w:fill="FFFFFF"/>
            <w:hideMark/>
          </w:tcPr>
          <w:p w14:paraId="7B909B0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12 </w:t>
            </w:r>
          </w:p>
        </w:tc>
        <w:tc>
          <w:tcPr>
            <w:tcW w:w="941" w:type="dxa"/>
            <w:shd w:val="clear" w:color="000000" w:fill="FFFFFF"/>
            <w:hideMark/>
          </w:tcPr>
          <w:p w14:paraId="7597B28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57A9E42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30-jun-23</w:t>
            </w:r>
          </w:p>
        </w:tc>
        <w:tc>
          <w:tcPr>
            <w:tcW w:w="879" w:type="dxa"/>
            <w:shd w:val="clear" w:color="000000" w:fill="FFFFFF"/>
            <w:hideMark/>
          </w:tcPr>
          <w:p w14:paraId="136F1E40"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12</w:t>
            </w:r>
          </w:p>
        </w:tc>
        <w:tc>
          <w:tcPr>
            <w:tcW w:w="959" w:type="dxa"/>
            <w:shd w:val="clear" w:color="000000" w:fill="FFFFFF"/>
            <w:hideMark/>
          </w:tcPr>
          <w:p w14:paraId="28E8298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97108F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30-06-2023 se evidenciaron los 12 informes por cada una de las Regionales de Apoyo y Nivel Central.</w:t>
            </w:r>
          </w:p>
        </w:tc>
      </w:tr>
      <w:tr w:rsidR="00853EB6" w:rsidRPr="00853EB6" w14:paraId="03190027" w14:textId="77777777" w:rsidTr="00853EB6">
        <w:trPr>
          <w:trHeight w:val="618"/>
        </w:trPr>
        <w:tc>
          <w:tcPr>
            <w:tcW w:w="2684" w:type="dxa"/>
            <w:shd w:val="clear" w:color="000000" w:fill="FFFFFF"/>
            <w:vAlign w:val="center"/>
            <w:hideMark/>
          </w:tcPr>
          <w:p w14:paraId="21EC9DF8" w14:textId="49117D92"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 13. Pago sanciones e intereses impuesto vehicular y predial (BA). En la SRA Nororiental en 2021 pago sanciones e intereses impuestos vehículos y predial por $987.918,10 por extemporaneidad de vigencias 2019 y 2020. </w:t>
            </w:r>
            <w:r w:rsidR="00AC3818" w:rsidRPr="00853EB6">
              <w:rPr>
                <w:rFonts w:ascii="Arial" w:eastAsia="Times New Roman" w:hAnsi="Arial" w:cs="Arial"/>
                <w:sz w:val="16"/>
                <w:szCs w:val="16"/>
                <w:lang w:eastAsia="es-CO"/>
              </w:rPr>
              <w:t>después</w:t>
            </w:r>
            <w:r w:rsidRPr="00853EB6">
              <w:rPr>
                <w:rFonts w:ascii="Arial" w:eastAsia="Times New Roman" w:hAnsi="Arial" w:cs="Arial"/>
                <w:sz w:val="16"/>
                <w:szCs w:val="16"/>
                <w:lang w:eastAsia="es-CO"/>
              </w:rPr>
              <w:t xml:space="preserve"> la </w:t>
            </w:r>
            <w:proofErr w:type="spellStart"/>
            <w:r w:rsidRPr="00853EB6">
              <w:rPr>
                <w:rFonts w:ascii="Arial" w:eastAsia="Times New Roman" w:hAnsi="Arial" w:cs="Arial"/>
                <w:sz w:val="16"/>
                <w:szCs w:val="16"/>
                <w:lang w:eastAsia="es-CO"/>
              </w:rPr>
              <w:t>Secret</w:t>
            </w:r>
            <w:proofErr w:type="spellEnd"/>
            <w:r w:rsidRPr="00853EB6">
              <w:rPr>
                <w:rFonts w:ascii="Arial" w:eastAsia="Times New Roman" w:hAnsi="Arial" w:cs="Arial"/>
                <w:sz w:val="16"/>
                <w:szCs w:val="16"/>
                <w:lang w:eastAsia="es-CO"/>
              </w:rPr>
              <w:t xml:space="preserve">. </w:t>
            </w:r>
            <w:proofErr w:type="spellStart"/>
            <w:r w:rsidRPr="00853EB6">
              <w:rPr>
                <w:rFonts w:ascii="Arial" w:eastAsia="Times New Roman" w:hAnsi="Arial" w:cs="Arial"/>
                <w:sz w:val="16"/>
                <w:szCs w:val="16"/>
                <w:lang w:eastAsia="es-CO"/>
              </w:rPr>
              <w:t>Hda</w:t>
            </w:r>
            <w:proofErr w:type="spellEnd"/>
            <w:r w:rsidRPr="00853EB6">
              <w:rPr>
                <w:rFonts w:ascii="Arial" w:eastAsia="Times New Roman" w:hAnsi="Arial" w:cs="Arial"/>
                <w:sz w:val="16"/>
                <w:szCs w:val="16"/>
                <w:lang w:eastAsia="es-CO"/>
              </w:rPr>
              <w:t xml:space="preserve"> Sant. reconoció “Pago de lo No debido” a la FGN y </w:t>
            </w:r>
            <w:r w:rsidR="00AC3818" w:rsidRPr="00853EB6">
              <w:rPr>
                <w:rFonts w:ascii="Arial" w:eastAsia="Times New Roman" w:hAnsi="Arial" w:cs="Arial"/>
                <w:sz w:val="16"/>
                <w:szCs w:val="16"/>
                <w:lang w:eastAsia="es-CO"/>
              </w:rPr>
              <w:t>devolvió</w:t>
            </w:r>
            <w:r w:rsidRPr="00853EB6">
              <w:rPr>
                <w:rFonts w:ascii="Arial" w:eastAsia="Times New Roman" w:hAnsi="Arial" w:cs="Arial"/>
                <w:sz w:val="16"/>
                <w:szCs w:val="16"/>
                <w:lang w:eastAsia="es-CO"/>
              </w:rPr>
              <w:t xml:space="preserve"> recursos que se consolidaron como beneficio de auditoría por $3.040.826.</w:t>
            </w:r>
          </w:p>
        </w:tc>
        <w:tc>
          <w:tcPr>
            <w:tcW w:w="1412" w:type="dxa"/>
            <w:shd w:val="clear" w:color="000000" w:fill="FFFFFF"/>
            <w:hideMark/>
          </w:tcPr>
          <w:p w14:paraId="0D74E84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Deficiencias en la aplicación de los controles que garanticen el pago de impuestos de manera oportuna.</w:t>
            </w:r>
          </w:p>
        </w:tc>
        <w:tc>
          <w:tcPr>
            <w:tcW w:w="1635" w:type="dxa"/>
            <w:shd w:val="clear" w:color="000000" w:fill="FFFFFF"/>
            <w:hideMark/>
          </w:tcPr>
          <w:p w14:paraId="7E18E2F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Verificar los activos que son objeto de pago de impuestos para causar las obligaciones reales que le corresponden a la entidad</w:t>
            </w:r>
          </w:p>
        </w:tc>
        <w:tc>
          <w:tcPr>
            <w:tcW w:w="1910" w:type="dxa"/>
            <w:shd w:val="clear" w:color="000000" w:fill="FFFFFF"/>
            <w:hideMark/>
          </w:tcPr>
          <w:p w14:paraId="093CA37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Realizar inventarios de los bienes que causen impuestos para la vigencia </w:t>
            </w:r>
          </w:p>
        </w:tc>
        <w:tc>
          <w:tcPr>
            <w:tcW w:w="1403" w:type="dxa"/>
            <w:shd w:val="clear" w:color="000000" w:fill="FFFFFF"/>
            <w:hideMark/>
          </w:tcPr>
          <w:p w14:paraId="765784E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Inventario Sedes y Vehicular</w:t>
            </w:r>
          </w:p>
        </w:tc>
        <w:tc>
          <w:tcPr>
            <w:tcW w:w="692" w:type="dxa"/>
            <w:shd w:val="clear" w:color="000000" w:fill="FFFFFF"/>
            <w:hideMark/>
          </w:tcPr>
          <w:p w14:paraId="1691D9F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1 </w:t>
            </w:r>
          </w:p>
        </w:tc>
        <w:tc>
          <w:tcPr>
            <w:tcW w:w="941" w:type="dxa"/>
            <w:shd w:val="clear" w:color="000000" w:fill="FFFFFF"/>
            <w:hideMark/>
          </w:tcPr>
          <w:p w14:paraId="7462FEE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1-nov-22</w:t>
            </w:r>
          </w:p>
        </w:tc>
        <w:tc>
          <w:tcPr>
            <w:tcW w:w="1047" w:type="dxa"/>
            <w:shd w:val="clear" w:color="000000" w:fill="FFFFFF"/>
            <w:hideMark/>
          </w:tcPr>
          <w:p w14:paraId="14D952D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31-ene-23</w:t>
            </w:r>
          </w:p>
        </w:tc>
        <w:tc>
          <w:tcPr>
            <w:tcW w:w="879" w:type="dxa"/>
            <w:shd w:val="clear" w:color="000000" w:fill="FFFFFF"/>
            <w:hideMark/>
          </w:tcPr>
          <w:p w14:paraId="21208238"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77306F3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35C9359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30-06-2023 se evidenció relación de inventarios por nivel central y regional.</w:t>
            </w:r>
          </w:p>
        </w:tc>
      </w:tr>
      <w:tr w:rsidR="00853EB6" w:rsidRPr="00853EB6" w14:paraId="12B099CD" w14:textId="77777777" w:rsidTr="00853EB6">
        <w:trPr>
          <w:trHeight w:val="2550"/>
        </w:trPr>
        <w:tc>
          <w:tcPr>
            <w:tcW w:w="2684" w:type="dxa"/>
            <w:shd w:val="clear" w:color="000000" w:fill="FFFFFF"/>
            <w:vAlign w:val="center"/>
            <w:hideMark/>
          </w:tcPr>
          <w:p w14:paraId="4CE2E1A1" w14:textId="1140A94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 13. Pago sanciones e intereses impuesto vehicular y predial (BA). En la SRA Nororiental en 2021 pago sanciones e intereses impuestos vehículos y predial por $987.918,10 por extemporaneidad de vigencias 2019 y 2020. </w:t>
            </w:r>
            <w:r w:rsidR="00AC3818" w:rsidRPr="00853EB6">
              <w:rPr>
                <w:rFonts w:ascii="Arial" w:eastAsia="Times New Roman" w:hAnsi="Arial" w:cs="Arial"/>
                <w:sz w:val="16"/>
                <w:szCs w:val="16"/>
                <w:lang w:eastAsia="es-CO"/>
              </w:rPr>
              <w:t>después</w:t>
            </w:r>
            <w:r w:rsidRPr="00853EB6">
              <w:rPr>
                <w:rFonts w:ascii="Arial" w:eastAsia="Times New Roman" w:hAnsi="Arial" w:cs="Arial"/>
                <w:sz w:val="16"/>
                <w:szCs w:val="16"/>
                <w:lang w:eastAsia="es-CO"/>
              </w:rPr>
              <w:t xml:space="preserve"> la </w:t>
            </w:r>
            <w:proofErr w:type="spellStart"/>
            <w:r w:rsidRPr="00853EB6">
              <w:rPr>
                <w:rFonts w:ascii="Arial" w:eastAsia="Times New Roman" w:hAnsi="Arial" w:cs="Arial"/>
                <w:sz w:val="16"/>
                <w:szCs w:val="16"/>
                <w:lang w:eastAsia="es-CO"/>
              </w:rPr>
              <w:t>Secret</w:t>
            </w:r>
            <w:proofErr w:type="spellEnd"/>
            <w:r w:rsidRPr="00853EB6">
              <w:rPr>
                <w:rFonts w:ascii="Arial" w:eastAsia="Times New Roman" w:hAnsi="Arial" w:cs="Arial"/>
                <w:sz w:val="16"/>
                <w:szCs w:val="16"/>
                <w:lang w:eastAsia="es-CO"/>
              </w:rPr>
              <w:t xml:space="preserve">. </w:t>
            </w:r>
            <w:proofErr w:type="spellStart"/>
            <w:r w:rsidRPr="00853EB6">
              <w:rPr>
                <w:rFonts w:ascii="Arial" w:eastAsia="Times New Roman" w:hAnsi="Arial" w:cs="Arial"/>
                <w:sz w:val="16"/>
                <w:szCs w:val="16"/>
                <w:lang w:eastAsia="es-CO"/>
              </w:rPr>
              <w:t>Hda</w:t>
            </w:r>
            <w:proofErr w:type="spellEnd"/>
            <w:r w:rsidRPr="00853EB6">
              <w:rPr>
                <w:rFonts w:ascii="Arial" w:eastAsia="Times New Roman" w:hAnsi="Arial" w:cs="Arial"/>
                <w:sz w:val="16"/>
                <w:szCs w:val="16"/>
                <w:lang w:eastAsia="es-CO"/>
              </w:rPr>
              <w:t xml:space="preserve"> Sant. reconoció “Pago de lo No debido” a la FGN y </w:t>
            </w:r>
            <w:r w:rsidR="00AC3818" w:rsidRPr="00853EB6">
              <w:rPr>
                <w:rFonts w:ascii="Arial" w:eastAsia="Times New Roman" w:hAnsi="Arial" w:cs="Arial"/>
                <w:sz w:val="16"/>
                <w:szCs w:val="16"/>
                <w:lang w:eastAsia="es-CO"/>
              </w:rPr>
              <w:t>devolvió</w:t>
            </w:r>
            <w:r w:rsidRPr="00853EB6">
              <w:rPr>
                <w:rFonts w:ascii="Arial" w:eastAsia="Times New Roman" w:hAnsi="Arial" w:cs="Arial"/>
                <w:sz w:val="16"/>
                <w:szCs w:val="16"/>
                <w:lang w:eastAsia="es-CO"/>
              </w:rPr>
              <w:t xml:space="preserve"> recursos que se consolidaron como beneficio de auditoría por $3.040.826.</w:t>
            </w:r>
          </w:p>
        </w:tc>
        <w:tc>
          <w:tcPr>
            <w:tcW w:w="1412" w:type="dxa"/>
            <w:shd w:val="clear" w:color="000000" w:fill="FFFFFF"/>
            <w:hideMark/>
          </w:tcPr>
          <w:p w14:paraId="36F6C49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Deficiencias en la aplicación de los controles que garanticen el pago de impuestos de manera oportuna.</w:t>
            </w:r>
          </w:p>
        </w:tc>
        <w:tc>
          <w:tcPr>
            <w:tcW w:w="1635" w:type="dxa"/>
            <w:shd w:val="clear" w:color="000000" w:fill="FFFFFF"/>
            <w:hideMark/>
          </w:tcPr>
          <w:p w14:paraId="4D3EB87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el pago oportuno de los bienes de propiedad o en tenencia - dominio de la FGN</w:t>
            </w:r>
          </w:p>
        </w:tc>
        <w:tc>
          <w:tcPr>
            <w:tcW w:w="1910" w:type="dxa"/>
            <w:shd w:val="clear" w:color="000000" w:fill="FFFFFF"/>
            <w:hideMark/>
          </w:tcPr>
          <w:p w14:paraId="4D37AE96" w14:textId="2B520A8E"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Adelantar el </w:t>
            </w:r>
            <w:r w:rsidR="00AC3818" w:rsidRPr="00853EB6">
              <w:rPr>
                <w:rFonts w:ascii="Arial" w:eastAsia="Times New Roman" w:hAnsi="Arial" w:cs="Arial"/>
                <w:sz w:val="16"/>
                <w:szCs w:val="16"/>
                <w:lang w:eastAsia="es-CO"/>
              </w:rPr>
              <w:t>trámite</w:t>
            </w:r>
            <w:r w:rsidRPr="00853EB6">
              <w:rPr>
                <w:rFonts w:ascii="Arial" w:eastAsia="Times New Roman" w:hAnsi="Arial" w:cs="Arial"/>
                <w:sz w:val="16"/>
                <w:szCs w:val="16"/>
                <w:lang w:eastAsia="es-CO"/>
              </w:rPr>
              <w:t xml:space="preserve"> para el pago oportuno   </w:t>
            </w:r>
          </w:p>
        </w:tc>
        <w:tc>
          <w:tcPr>
            <w:tcW w:w="1403" w:type="dxa"/>
            <w:shd w:val="clear" w:color="000000" w:fill="FFFFFF"/>
            <w:hideMark/>
          </w:tcPr>
          <w:p w14:paraId="6C31A035" w14:textId="5B6552D1" w:rsidR="00853EB6" w:rsidRPr="00853EB6" w:rsidRDefault="00AC3818"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Relación</w:t>
            </w:r>
            <w:r w:rsidR="00853EB6" w:rsidRPr="00853EB6">
              <w:rPr>
                <w:rFonts w:ascii="Arial" w:eastAsia="Times New Roman" w:hAnsi="Arial" w:cs="Arial"/>
                <w:sz w:val="16"/>
                <w:szCs w:val="16"/>
                <w:lang w:eastAsia="es-CO"/>
              </w:rPr>
              <w:t xml:space="preserve"> de pagos (100%)</w:t>
            </w:r>
          </w:p>
        </w:tc>
        <w:tc>
          <w:tcPr>
            <w:tcW w:w="692" w:type="dxa"/>
            <w:shd w:val="clear" w:color="000000" w:fill="FFFFFF"/>
            <w:hideMark/>
          </w:tcPr>
          <w:p w14:paraId="46DC0AC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100 </w:t>
            </w:r>
          </w:p>
        </w:tc>
        <w:tc>
          <w:tcPr>
            <w:tcW w:w="941" w:type="dxa"/>
            <w:shd w:val="clear" w:color="000000" w:fill="FFFFFF"/>
            <w:hideMark/>
          </w:tcPr>
          <w:p w14:paraId="0296B2D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1-feb-23</w:t>
            </w:r>
          </w:p>
        </w:tc>
        <w:tc>
          <w:tcPr>
            <w:tcW w:w="1047" w:type="dxa"/>
            <w:shd w:val="clear" w:color="000000" w:fill="FFFFFF"/>
            <w:hideMark/>
          </w:tcPr>
          <w:p w14:paraId="6A57923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31-jul-23</w:t>
            </w:r>
          </w:p>
        </w:tc>
        <w:tc>
          <w:tcPr>
            <w:tcW w:w="879" w:type="dxa"/>
            <w:shd w:val="clear" w:color="000000" w:fill="FFFFFF"/>
            <w:hideMark/>
          </w:tcPr>
          <w:p w14:paraId="1ED279CA"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50</w:t>
            </w:r>
          </w:p>
        </w:tc>
        <w:tc>
          <w:tcPr>
            <w:tcW w:w="959" w:type="dxa"/>
            <w:shd w:val="clear" w:color="000000" w:fill="FFFFFF"/>
            <w:hideMark/>
          </w:tcPr>
          <w:p w14:paraId="0B96EEB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50%</w:t>
            </w:r>
          </w:p>
        </w:tc>
        <w:tc>
          <w:tcPr>
            <w:tcW w:w="2053" w:type="dxa"/>
            <w:shd w:val="clear" w:color="000000" w:fill="FFFFFF"/>
            <w:hideMark/>
          </w:tcPr>
          <w:p w14:paraId="62A9445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30-06-2023 se evidenció documentación soporte de los pagos individuales realizados por regionales y nivel central, quedando pendiente por unificar bienes en proceso de pago versus el inventario para definir porcentaje de avance.</w:t>
            </w:r>
          </w:p>
        </w:tc>
      </w:tr>
      <w:tr w:rsidR="00853EB6" w:rsidRPr="00853EB6" w14:paraId="14793C78" w14:textId="77777777" w:rsidTr="00853EB6">
        <w:trPr>
          <w:trHeight w:val="335"/>
        </w:trPr>
        <w:tc>
          <w:tcPr>
            <w:tcW w:w="2684" w:type="dxa"/>
            <w:shd w:val="clear" w:color="000000" w:fill="FFFFFF"/>
            <w:vAlign w:val="center"/>
            <w:hideMark/>
          </w:tcPr>
          <w:p w14:paraId="78BA7BF6" w14:textId="57419D6E"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 13. Pago sanciones e intereses impuesto vehicular y predial (BA). En la SRA Nororiental en 2021 pago sanciones e intereses impuestos vehículos y predial por $987.918,10 por extemporaneidad de vigencias 2019 y 2020. </w:t>
            </w:r>
            <w:proofErr w:type="spellStart"/>
            <w:r w:rsidRPr="00853EB6">
              <w:rPr>
                <w:rFonts w:ascii="Arial" w:eastAsia="Times New Roman" w:hAnsi="Arial" w:cs="Arial"/>
                <w:sz w:val="16"/>
                <w:szCs w:val="16"/>
                <w:lang w:eastAsia="es-CO"/>
              </w:rPr>
              <w:t>Despúes</w:t>
            </w:r>
            <w:proofErr w:type="spellEnd"/>
            <w:r w:rsidRPr="00853EB6">
              <w:rPr>
                <w:rFonts w:ascii="Arial" w:eastAsia="Times New Roman" w:hAnsi="Arial" w:cs="Arial"/>
                <w:sz w:val="16"/>
                <w:szCs w:val="16"/>
                <w:lang w:eastAsia="es-CO"/>
              </w:rPr>
              <w:t xml:space="preserve"> la </w:t>
            </w:r>
            <w:proofErr w:type="spellStart"/>
            <w:r w:rsidRPr="00853EB6">
              <w:rPr>
                <w:rFonts w:ascii="Arial" w:eastAsia="Times New Roman" w:hAnsi="Arial" w:cs="Arial"/>
                <w:sz w:val="16"/>
                <w:szCs w:val="16"/>
                <w:lang w:eastAsia="es-CO"/>
              </w:rPr>
              <w:t>Secret</w:t>
            </w:r>
            <w:proofErr w:type="spellEnd"/>
            <w:r w:rsidRPr="00853EB6">
              <w:rPr>
                <w:rFonts w:ascii="Arial" w:eastAsia="Times New Roman" w:hAnsi="Arial" w:cs="Arial"/>
                <w:sz w:val="16"/>
                <w:szCs w:val="16"/>
                <w:lang w:eastAsia="es-CO"/>
              </w:rPr>
              <w:t xml:space="preserve">. </w:t>
            </w:r>
            <w:proofErr w:type="spellStart"/>
            <w:r w:rsidRPr="00853EB6">
              <w:rPr>
                <w:rFonts w:ascii="Arial" w:eastAsia="Times New Roman" w:hAnsi="Arial" w:cs="Arial"/>
                <w:sz w:val="16"/>
                <w:szCs w:val="16"/>
                <w:lang w:eastAsia="es-CO"/>
              </w:rPr>
              <w:t>Hda</w:t>
            </w:r>
            <w:proofErr w:type="spellEnd"/>
            <w:r w:rsidRPr="00853EB6">
              <w:rPr>
                <w:rFonts w:ascii="Arial" w:eastAsia="Times New Roman" w:hAnsi="Arial" w:cs="Arial"/>
                <w:sz w:val="16"/>
                <w:szCs w:val="16"/>
                <w:lang w:eastAsia="es-CO"/>
              </w:rPr>
              <w:t xml:space="preserve"> Sant. reconoció “Pago de lo No debido” a la FGN y </w:t>
            </w:r>
            <w:r w:rsidR="00AC3818" w:rsidRPr="00853EB6">
              <w:rPr>
                <w:rFonts w:ascii="Arial" w:eastAsia="Times New Roman" w:hAnsi="Arial" w:cs="Arial"/>
                <w:sz w:val="16"/>
                <w:szCs w:val="16"/>
                <w:lang w:eastAsia="es-CO"/>
              </w:rPr>
              <w:t>devolvió</w:t>
            </w:r>
            <w:r w:rsidRPr="00853EB6">
              <w:rPr>
                <w:rFonts w:ascii="Arial" w:eastAsia="Times New Roman" w:hAnsi="Arial" w:cs="Arial"/>
                <w:sz w:val="16"/>
                <w:szCs w:val="16"/>
                <w:lang w:eastAsia="es-CO"/>
              </w:rPr>
              <w:t xml:space="preserve"> recursos que se consolidaron como </w:t>
            </w:r>
            <w:r w:rsidRPr="00853EB6">
              <w:rPr>
                <w:rFonts w:ascii="Arial" w:eastAsia="Times New Roman" w:hAnsi="Arial" w:cs="Arial"/>
                <w:sz w:val="16"/>
                <w:szCs w:val="16"/>
                <w:lang w:eastAsia="es-CO"/>
              </w:rPr>
              <w:lastRenderedPageBreak/>
              <w:t>beneficio de auditoría por $3.040.826.</w:t>
            </w:r>
          </w:p>
        </w:tc>
        <w:tc>
          <w:tcPr>
            <w:tcW w:w="1412" w:type="dxa"/>
            <w:shd w:val="clear" w:color="000000" w:fill="FFFFFF"/>
            <w:hideMark/>
          </w:tcPr>
          <w:p w14:paraId="2532911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lastRenderedPageBreak/>
              <w:t>Deficiencias en la aplicación de los controles que garanticen el pago de impuestos de manera oportuna.</w:t>
            </w:r>
          </w:p>
        </w:tc>
        <w:tc>
          <w:tcPr>
            <w:tcW w:w="1635" w:type="dxa"/>
            <w:shd w:val="clear" w:color="000000" w:fill="FFFFFF"/>
            <w:hideMark/>
          </w:tcPr>
          <w:p w14:paraId="6FBE66D1" w14:textId="7CC895BC"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Realizar las gestiones necesarias ante las entidades correspondientes para la exención de pagos frente a los bienes en los cuales la FGN </w:t>
            </w:r>
            <w:r w:rsidR="00AC3818" w:rsidRPr="00853EB6">
              <w:rPr>
                <w:rFonts w:ascii="Arial" w:eastAsia="Times New Roman" w:hAnsi="Arial" w:cs="Arial"/>
                <w:sz w:val="16"/>
                <w:szCs w:val="16"/>
                <w:lang w:eastAsia="es-CO"/>
              </w:rPr>
              <w:t>aún</w:t>
            </w:r>
            <w:r w:rsidRPr="00853EB6">
              <w:rPr>
                <w:rFonts w:ascii="Arial" w:eastAsia="Times New Roman" w:hAnsi="Arial" w:cs="Arial"/>
                <w:sz w:val="16"/>
                <w:szCs w:val="16"/>
                <w:lang w:eastAsia="es-CO"/>
              </w:rPr>
              <w:t xml:space="preserve"> no tiene </w:t>
            </w:r>
            <w:r w:rsidR="00AC3818" w:rsidRPr="00853EB6">
              <w:rPr>
                <w:rFonts w:ascii="Arial" w:eastAsia="Times New Roman" w:hAnsi="Arial" w:cs="Arial"/>
                <w:sz w:val="16"/>
                <w:szCs w:val="16"/>
                <w:lang w:eastAsia="es-CO"/>
              </w:rPr>
              <w:t>título</w:t>
            </w:r>
            <w:r w:rsidRPr="00853EB6">
              <w:rPr>
                <w:rFonts w:ascii="Arial" w:eastAsia="Times New Roman" w:hAnsi="Arial" w:cs="Arial"/>
                <w:sz w:val="16"/>
                <w:szCs w:val="16"/>
                <w:lang w:eastAsia="es-CO"/>
              </w:rPr>
              <w:t xml:space="preserve"> o dominio</w:t>
            </w:r>
          </w:p>
        </w:tc>
        <w:tc>
          <w:tcPr>
            <w:tcW w:w="1910" w:type="dxa"/>
            <w:shd w:val="clear" w:color="000000" w:fill="FFFFFF"/>
            <w:hideMark/>
          </w:tcPr>
          <w:p w14:paraId="71669A4F" w14:textId="5AE64149"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Realizar las gestiones necesarias ante las entidades correspondientes para la exención de pagos frente a los bienes en los cuales la FGN </w:t>
            </w:r>
            <w:r w:rsidR="00AC3818" w:rsidRPr="00853EB6">
              <w:rPr>
                <w:rFonts w:ascii="Arial" w:eastAsia="Times New Roman" w:hAnsi="Arial" w:cs="Arial"/>
                <w:sz w:val="16"/>
                <w:szCs w:val="16"/>
                <w:lang w:eastAsia="es-CO"/>
              </w:rPr>
              <w:t>aún</w:t>
            </w:r>
            <w:r w:rsidRPr="00853EB6">
              <w:rPr>
                <w:rFonts w:ascii="Arial" w:eastAsia="Times New Roman" w:hAnsi="Arial" w:cs="Arial"/>
                <w:sz w:val="16"/>
                <w:szCs w:val="16"/>
                <w:lang w:eastAsia="es-CO"/>
              </w:rPr>
              <w:t xml:space="preserve"> no tiene </w:t>
            </w:r>
            <w:r w:rsidR="00AC3818" w:rsidRPr="00853EB6">
              <w:rPr>
                <w:rFonts w:ascii="Arial" w:eastAsia="Times New Roman" w:hAnsi="Arial" w:cs="Arial"/>
                <w:sz w:val="16"/>
                <w:szCs w:val="16"/>
                <w:lang w:eastAsia="es-CO"/>
              </w:rPr>
              <w:t>título</w:t>
            </w:r>
            <w:r w:rsidRPr="00853EB6">
              <w:rPr>
                <w:rFonts w:ascii="Arial" w:eastAsia="Times New Roman" w:hAnsi="Arial" w:cs="Arial"/>
                <w:sz w:val="16"/>
                <w:szCs w:val="16"/>
                <w:lang w:eastAsia="es-CO"/>
              </w:rPr>
              <w:t xml:space="preserve"> o dominio</w:t>
            </w:r>
          </w:p>
        </w:tc>
        <w:tc>
          <w:tcPr>
            <w:tcW w:w="1403" w:type="dxa"/>
            <w:shd w:val="clear" w:color="000000" w:fill="FFFFFF"/>
            <w:hideMark/>
          </w:tcPr>
          <w:p w14:paraId="083AB5E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las gestiones adelantadas</w:t>
            </w:r>
          </w:p>
        </w:tc>
        <w:tc>
          <w:tcPr>
            <w:tcW w:w="692" w:type="dxa"/>
            <w:shd w:val="clear" w:color="000000" w:fill="FFFFFF"/>
            <w:hideMark/>
          </w:tcPr>
          <w:p w14:paraId="4F5FF88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w:t>
            </w:r>
          </w:p>
        </w:tc>
        <w:tc>
          <w:tcPr>
            <w:tcW w:w="941" w:type="dxa"/>
            <w:shd w:val="clear" w:color="000000" w:fill="FFFFFF"/>
            <w:hideMark/>
          </w:tcPr>
          <w:p w14:paraId="2FCDA4E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1-ene-23</w:t>
            </w:r>
          </w:p>
        </w:tc>
        <w:tc>
          <w:tcPr>
            <w:tcW w:w="1047" w:type="dxa"/>
            <w:shd w:val="clear" w:color="000000" w:fill="FFFFFF"/>
            <w:hideMark/>
          </w:tcPr>
          <w:p w14:paraId="7F3B767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31-jul-23</w:t>
            </w:r>
          </w:p>
        </w:tc>
        <w:tc>
          <w:tcPr>
            <w:tcW w:w="879" w:type="dxa"/>
            <w:shd w:val="clear" w:color="000000" w:fill="FFFFFF"/>
            <w:hideMark/>
          </w:tcPr>
          <w:p w14:paraId="0C7E0C25"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5AA4B23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50%</w:t>
            </w:r>
          </w:p>
        </w:tc>
        <w:tc>
          <w:tcPr>
            <w:tcW w:w="2053" w:type="dxa"/>
            <w:shd w:val="clear" w:color="000000" w:fill="FFFFFF"/>
            <w:hideMark/>
          </w:tcPr>
          <w:p w14:paraId="4350F95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30-06-2023 se evidenció documentación soporte individual sobre los bienes exentos de pago de impuestos en regionales y nivel central, sin embargo, no hay documento o informe que acopie la cantidad de bienes sujetos de este beneficio versus el inventario.</w:t>
            </w:r>
          </w:p>
        </w:tc>
      </w:tr>
      <w:tr w:rsidR="00853EB6" w:rsidRPr="00853EB6" w14:paraId="4468FBFB" w14:textId="77777777" w:rsidTr="00853EB6">
        <w:trPr>
          <w:trHeight w:val="2880"/>
        </w:trPr>
        <w:tc>
          <w:tcPr>
            <w:tcW w:w="2684" w:type="dxa"/>
            <w:shd w:val="clear" w:color="000000" w:fill="FFFFFF"/>
            <w:vAlign w:val="center"/>
            <w:hideMark/>
          </w:tcPr>
          <w:p w14:paraId="3BD4A55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 21. Gestión de Cobro. En expediente CC 13.819.380 se observó: - </w:t>
            </w:r>
            <w:proofErr w:type="spellStart"/>
            <w:r w:rsidRPr="00853EB6">
              <w:rPr>
                <w:rFonts w:ascii="Arial" w:eastAsia="Times New Roman" w:hAnsi="Arial" w:cs="Arial"/>
                <w:sz w:val="16"/>
                <w:szCs w:val="16"/>
                <w:lang w:eastAsia="es-CO"/>
              </w:rPr>
              <w:t>Aplicac</w:t>
            </w:r>
            <w:proofErr w:type="spellEnd"/>
            <w:r w:rsidRPr="00853EB6">
              <w:rPr>
                <w:rFonts w:ascii="Arial" w:eastAsia="Times New Roman" w:hAnsi="Arial" w:cs="Arial"/>
                <w:sz w:val="16"/>
                <w:szCs w:val="16"/>
                <w:lang w:eastAsia="es-CO"/>
              </w:rPr>
              <w:t xml:space="preserve"> manual GN-AP05-M-01, - Res. retiro 26/05/16 y notificación P. Porvenir inclusión nómina </w:t>
            </w:r>
            <w:proofErr w:type="spellStart"/>
            <w:r w:rsidRPr="00853EB6">
              <w:rPr>
                <w:rFonts w:ascii="Arial" w:eastAsia="Times New Roman" w:hAnsi="Arial" w:cs="Arial"/>
                <w:sz w:val="16"/>
                <w:szCs w:val="16"/>
                <w:lang w:eastAsia="es-CO"/>
              </w:rPr>
              <w:t>pens</w:t>
            </w:r>
            <w:proofErr w:type="spellEnd"/>
            <w:r w:rsidRPr="00853EB6">
              <w:rPr>
                <w:rFonts w:ascii="Arial" w:eastAsia="Times New Roman" w:hAnsi="Arial" w:cs="Arial"/>
                <w:sz w:val="16"/>
                <w:szCs w:val="16"/>
                <w:lang w:eastAsia="es-CO"/>
              </w:rPr>
              <w:t>. ene/16, - Expediente sin desprendibles pago y cobros al Fondo, - Cobro persuasivo del 11/05/16 y 9/06/17, un año de diferencia, - Sin gestión de ubicación deudor, - Recaudo información patrimonial hasta feb/21.</w:t>
            </w:r>
          </w:p>
        </w:tc>
        <w:tc>
          <w:tcPr>
            <w:tcW w:w="1412" w:type="dxa"/>
            <w:shd w:val="clear" w:color="000000" w:fill="FFFFFF"/>
            <w:hideMark/>
          </w:tcPr>
          <w:p w14:paraId="67D7E94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Deficiencias de control interno en el desarrollo de los procedimientos de cobro, falta de implementación de medidas para mitigar la situación que garantice la efectividad en la recuperación de los valores adeudados a la entidad y una presunta dilación injustificada en el trámite del proceso, afectando la celeridad y el debido proceso coactivo.</w:t>
            </w:r>
          </w:p>
        </w:tc>
        <w:tc>
          <w:tcPr>
            <w:tcW w:w="1635" w:type="dxa"/>
            <w:shd w:val="clear" w:color="000000" w:fill="FFFFFF"/>
            <w:hideMark/>
          </w:tcPr>
          <w:p w14:paraId="31A781FD" w14:textId="7DDE139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verificación de la información y documentación para realizar los registros contables a que haya lugar</w:t>
            </w:r>
          </w:p>
        </w:tc>
        <w:tc>
          <w:tcPr>
            <w:tcW w:w="1910" w:type="dxa"/>
            <w:shd w:val="clear" w:color="000000" w:fill="FFFFFF"/>
            <w:hideMark/>
          </w:tcPr>
          <w:p w14:paraId="67EC7E5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Registro contable.</w:t>
            </w:r>
          </w:p>
        </w:tc>
        <w:tc>
          <w:tcPr>
            <w:tcW w:w="1403" w:type="dxa"/>
            <w:shd w:val="clear" w:color="000000" w:fill="FFFFFF"/>
            <w:hideMark/>
          </w:tcPr>
          <w:p w14:paraId="76B8028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Comprobante contable</w:t>
            </w:r>
          </w:p>
        </w:tc>
        <w:tc>
          <w:tcPr>
            <w:tcW w:w="692" w:type="dxa"/>
            <w:shd w:val="clear" w:color="000000" w:fill="FFFFFF"/>
            <w:hideMark/>
          </w:tcPr>
          <w:p w14:paraId="0C46295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7AAC09D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3501D81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31-oct-22</w:t>
            </w:r>
          </w:p>
        </w:tc>
        <w:tc>
          <w:tcPr>
            <w:tcW w:w="879" w:type="dxa"/>
            <w:shd w:val="clear" w:color="000000" w:fill="FFFFFF"/>
            <w:hideMark/>
          </w:tcPr>
          <w:p w14:paraId="7FC4F1BA"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0</w:t>
            </w:r>
          </w:p>
        </w:tc>
        <w:tc>
          <w:tcPr>
            <w:tcW w:w="959" w:type="dxa"/>
            <w:shd w:val="clear" w:color="000000" w:fill="FFFFFF"/>
            <w:hideMark/>
          </w:tcPr>
          <w:p w14:paraId="417A6AD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0%</w:t>
            </w:r>
          </w:p>
        </w:tc>
        <w:tc>
          <w:tcPr>
            <w:tcW w:w="2053" w:type="dxa"/>
            <w:shd w:val="clear" w:color="000000" w:fill="FFFFFF"/>
            <w:hideMark/>
          </w:tcPr>
          <w:p w14:paraId="39C1370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30-06-2023 se evidenció: Matriz Excel Gestión de Cobros con trazabilidad del expediente con última fecha del 16-02-22 y correo electrónico del 22-04-22 donde la SRA Nororiental remite la información a la </w:t>
            </w:r>
            <w:proofErr w:type="spellStart"/>
            <w:r w:rsidRPr="00853EB6">
              <w:rPr>
                <w:rFonts w:ascii="Arial" w:eastAsia="Times New Roman" w:hAnsi="Arial" w:cs="Arial"/>
                <w:sz w:val="16"/>
                <w:szCs w:val="16"/>
                <w:lang w:eastAsia="es-CO"/>
              </w:rPr>
              <w:t>Subfinanciera</w:t>
            </w:r>
            <w:proofErr w:type="spellEnd"/>
            <w:r w:rsidRPr="00853EB6">
              <w:rPr>
                <w:rFonts w:ascii="Arial" w:eastAsia="Times New Roman" w:hAnsi="Arial" w:cs="Arial"/>
                <w:sz w:val="16"/>
                <w:szCs w:val="16"/>
                <w:lang w:eastAsia="es-CO"/>
              </w:rPr>
              <w:t xml:space="preserve"> NC para llevar a </w:t>
            </w:r>
            <w:proofErr w:type="spellStart"/>
            <w:r w:rsidRPr="00853EB6">
              <w:rPr>
                <w:rFonts w:ascii="Arial" w:eastAsia="Times New Roman" w:hAnsi="Arial" w:cs="Arial"/>
                <w:sz w:val="16"/>
                <w:szCs w:val="16"/>
                <w:lang w:eastAsia="es-CO"/>
              </w:rPr>
              <w:t>Comite</w:t>
            </w:r>
            <w:proofErr w:type="spellEnd"/>
            <w:r w:rsidRPr="00853EB6">
              <w:rPr>
                <w:rFonts w:ascii="Arial" w:eastAsia="Times New Roman" w:hAnsi="Arial" w:cs="Arial"/>
                <w:sz w:val="16"/>
                <w:szCs w:val="16"/>
                <w:lang w:eastAsia="es-CO"/>
              </w:rPr>
              <w:t xml:space="preserve"> de Sostenibilidad. Correo del 16-12-22 de la </w:t>
            </w:r>
            <w:proofErr w:type="spellStart"/>
            <w:r w:rsidRPr="00853EB6">
              <w:rPr>
                <w:rFonts w:ascii="Arial" w:eastAsia="Times New Roman" w:hAnsi="Arial" w:cs="Arial"/>
                <w:sz w:val="16"/>
                <w:szCs w:val="16"/>
                <w:lang w:eastAsia="es-CO"/>
              </w:rPr>
              <w:t>Subfinanciera</w:t>
            </w:r>
            <w:proofErr w:type="spellEnd"/>
            <w:r w:rsidRPr="00853EB6">
              <w:rPr>
                <w:rFonts w:ascii="Arial" w:eastAsia="Times New Roman" w:hAnsi="Arial" w:cs="Arial"/>
                <w:sz w:val="16"/>
                <w:szCs w:val="16"/>
                <w:lang w:eastAsia="es-CO"/>
              </w:rPr>
              <w:t xml:space="preserve"> dando respuesta para el tratamiento, sin observar avance a la fecha de corte.</w:t>
            </w:r>
          </w:p>
        </w:tc>
      </w:tr>
      <w:tr w:rsidR="00853EB6" w:rsidRPr="00853EB6" w14:paraId="1D1D8C1A" w14:textId="77777777" w:rsidTr="00853EB6">
        <w:trPr>
          <w:trHeight w:val="335"/>
        </w:trPr>
        <w:tc>
          <w:tcPr>
            <w:tcW w:w="2684" w:type="dxa"/>
            <w:shd w:val="clear" w:color="000000" w:fill="FFFFFF"/>
            <w:vAlign w:val="center"/>
            <w:hideMark/>
          </w:tcPr>
          <w:p w14:paraId="0AE76A8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No.4 CN 107 de 2020 Mejoras al Software. Las mejoras realizadas a un bien intangible se consideran como un mayor valor del activo y no como un gasto, tal como lo establece el Manual de Políticas Contables adoptado por la Entidad, bajo el Nuevo Marco Normativo.</w:t>
            </w:r>
          </w:p>
        </w:tc>
        <w:tc>
          <w:tcPr>
            <w:tcW w:w="1412" w:type="dxa"/>
            <w:shd w:val="clear" w:color="000000" w:fill="FFFFFF"/>
            <w:hideMark/>
          </w:tcPr>
          <w:p w14:paraId="6AED65C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Debilidades en la identificación de las mejoras a </w:t>
            </w:r>
            <w:r w:rsidRPr="00853EB6">
              <w:rPr>
                <w:rFonts w:ascii="Arial" w:eastAsia="Times New Roman" w:hAnsi="Arial" w:cs="Arial"/>
                <w:sz w:val="16"/>
                <w:szCs w:val="16"/>
                <w:lang w:eastAsia="es-CO"/>
              </w:rPr>
              <w:br/>
              <w:t>los bienes intangibles y aplicabilidad del procedimiento para reconocimiento y registro de los hechos económicos en el proceso contable.</w:t>
            </w:r>
          </w:p>
        </w:tc>
        <w:tc>
          <w:tcPr>
            <w:tcW w:w="1635" w:type="dxa"/>
            <w:shd w:val="clear" w:color="000000" w:fill="FFFFFF"/>
            <w:hideMark/>
          </w:tcPr>
          <w:p w14:paraId="5D278BB0" w14:textId="2A366E9C"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Adelantar mesas de trabajo entre SF, TICS Y SB, con el fin de dar instrucciones al supervisor para detallar y cuantificar en la factura los bienes que son objeto de reconocimiento en el intangible.</w:t>
            </w:r>
          </w:p>
        </w:tc>
        <w:tc>
          <w:tcPr>
            <w:tcW w:w="1910" w:type="dxa"/>
            <w:shd w:val="clear" w:color="000000" w:fill="FFFFFF"/>
            <w:hideMark/>
          </w:tcPr>
          <w:p w14:paraId="573D886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Emitir instrucciones a los supervisores para detallar y cuantificar en la factura los bienes que son objeto de reconocimiento en el intangible.</w:t>
            </w:r>
          </w:p>
        </w:tc>
        <w:tc>
          <w:tcPr>
            <w:tcW w:w="1403" w:type="dxa"/>
            <w:shd w:val="clear" w:color="000000" w:fill="FFFFFF"/>
            <w:hideMark/>
          </w:tcPr>
          <w:p w14:paraId="6EA8019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Circular - Memorando - Documento</w:t>
            </w:r>
          </w:p>
        </w:tc>
        <w:tc>
          <w:tcPr>
            <w:tcW w:w="692" w:type="dxa"/>
            <w:shd w:val="clear" w:color="000000" w:fill="FFFFFF"/>
            <w:hideMark/>
          </w:tcPr>
          <w:p w14:paraId="3E529E1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1 </w:t>
            </w:r>
          </w:p>
        </w:tc>
        <w:tc>
          <w:tcPr>
            <w:tcW w:w="941" w:type="dxa"/>
            <w:shd w:val="clear" w:color="000000" w:fill="FFFFFF"/>
            <w:hideMark/>
          </w:tcPr>
          <w:p w14:paraId="028842F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407D7FF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31-ago-22</w:t>
            </w:r>
          </w:p>
        </w:tc>
        <w:tc>
          <w:tcPr>
            <w:tcW w:w="879" w:type="dxa"/>
            <w:shd w:val="clear" w:color="000000" w:fill="FFFFFF"/>
            <w:hideMark/>
          </w:tcPr>
          <w:p w14:paraId="012E2554"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625ABCB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CEBCCD3" w14:textId="4FD31F49"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 31-12-22 se evidenció: Circular 005 del 24-08-22 dirigida a los Subdirectores Regionales de Apoyo, Subdirección Tics, y supervisores de contratos "</w:t>
            </w:r>
            <w:proofErr w:type="spellStart"/>
            <w:r w:rsidRPr="00853EB6">
              <w:rPr>
                <w:rFonts w:ascii="Arial" w:eastAsia="Times New Roman" w:hAnsi="Arial" w:cs="Arial"/>
                <w:sz w:val="16"/>
                <w:szCs w:val="16"/>
                <w:lang w:eastAsia="es-CO"/>
              </w:rPr>
              <w:t>Facturacion</w:t>
            </w:r>
            <w:proofErr w:type="spellEnd"/>
            <w:r w:rsidRPr="00853EB6">
              <w:rPr>
                <w:rFonts w:ascii="Arial" w:eastAsia="Times New Roman" w:hAnsi="Arial" w:cs="Arial"/>
                <w:sz w:val="16"/>
                <w:szCs w:val="16"/>
                <w:lang w:eastAsia="es-CO"/>
              </w:rPr>
              <w:t xml:space="preserve"> detallada de bienes y servicios y reconocimiento en los estados financieros" la cual fue socializada el 25-08-2022 por la Dirección de Comunicaciones.</w:t>
            </w:r>
          </w:p>
        </w:tc>
      </w:tr>
      <w:tr w:rsidR="00853EB6" w:rsidRPr="00853EB6" w14:paraId="2AC7A051" w14:textId="77777777" w:rsidTr="00853EB6">
        <w:trPr>
          <w:trHeight w:val="2550"/>
        </w:trPr>
        <w:tc>
          <w:tcPr>
            <w:tcW w:w="2684" w:type="dxa"/>
            <w:shd w:val="clear" w:color="000000" w:fill="FFFFFF"/>
            <w:vAlign w:val="center"/>
            <w:hideMark/>
          </w:tcPr>
          <w:p w14:paraId="5E3A7B5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 xml:space="preserve">N° 24. </w:t>
            </w:r>
            <w:proofErr w:type="spellStart"/>
            <w:r w:rsidRPr="00853EB6">
              <w:rPr>
                <w:rFonts w:ascii="Arial" w:eastAsia="Times New Roman" w:hAnsi="Arial" w:cs="Arial"/>
                <w:b/>
                <w:bCs/>
                <w:sz w:val="16"/>
                <w:szCs w:val="16"/>
                <w:lang w:eastAsia="es-CO"/>
              </w:rPr>
              <w:t>Gestión</w:t>
            </w:r>
            <w:proofErr w:type="spellEnd"/>
            <w:r w:rsidRPr="00853EB6">
              <w:rPr>
                <w:rFonts w:ascii="Arial" w:eastAsia="Times New Roman" w:hAnsi="Arial" w:cs="Arial"/>
                <w:b/>
                <w:bCs/>
                <w:sz w:val="16"/>
                <w:szCs w:val="16"/>
                <w:lang w:eastAsia="es-CO"/>
              </w:rPr>
              <w:t xml:space="preserve"> Documental (OI Otra </w:t>
            </w:r>
            <w:proofErr w:type="spellStart"/>
            <w:r w:rsidRPr="00853EB6">
              <w:rPr>
                <w:rFonts w:ascii="Arial" w:eastAsia="Times New Roman" w:hAnsi="Arial" w:cs="Arial"/>
                <w:b/>
                <w:bCs/>
                <w:sz w:val="16"/>
                <w:szCs w:val="16"/>
                <w:lang w:eastAsia="es-CO"/>
              </w:rPr>
              <w:t>Indicencia</w:t>
            </w:r>
            <w:proofErr w:type="spellEnd"/>
            <w:r w:rsidRPr="00853EB6">
              <w:rPr>
                <w:rFonts w:ascii="Arial" w:eastAsia="Times New Roman" w:hAnsi="Arial" w:cs="Arial"/>
                <w:b/>
                <w:bCs/>
                <w:sz w:val="16"/>
                <w:szCs w:val="16"/>
                <w:lang w:eastAsia="es-CO"/>
              </w:rPr>
              <w:t xml:space="preserve"> – Archivo General de la </w:t>
            </w:r>
            <w:proofErr w:type="spellStart"/>
            <w:r w:rsidRPr="00853EB6">
              <w:rPr>
                <w:rFonts w:ascii="Arial" w:eastAsia="Times New Roman" w:hAnsi="Arial" w:cs="Arial"/>
                <w:b/>
                <w:bCs/>
                <w:sz w:val="16"/>
                <w:szCs w:val="16"/>
                <w:lang w:eastAsia="es-CO"/>
              </w:rPr>
              <w:t>Nación</w:t>
            </w:r>
            <w:proofErr w:type="spellEnd"/>
            <w:r w:rsidRPr="00853EB6">
              <w:rPr>
                <w:rFonts w:ascii="Arial" w:eastAsia="Times New Roman" w:hAnsi="Arial" w:cs="Arial"/>
                <w:b/>
                <w:bCs/>
                <w:sz w:val="16"/>
                <w:szCs w:val="16"/>
                <w:lang w:eastAsia="es-CO"/>
              </w:rPr>
              <w:t>).</w:t>
            </w:r>
            <w:r w:rsidRPr="00853EB6">
              <w:rPr>
                <w:rFonts w:ascii="Arial" w:eastAsia="Times New Roman" w:hAnsi="Arial" w:cs="Arial"/>
                <w:sz w:val="16"/>
                <w:szCs w:val="16"/>
                <w:lang w:eastAsia="es-CO"/>
              </w:rPr>
              <w:t xml:space="preserve"> Se observa falta de organización archivística de los documentos, no se evidencia conservación física de documentos soporte o fuentes que garanticen la autenticidad, integridad e inalterabilidad de la información y dificulta la trazabilidad de los documentos electrónicos.</w:t>
            </w:r>
          </w:p>
        </w:tc>
        <w:tc>
          <w:tcPr>
            <w:tcW w:w="1412" w:type="dxa"/>
            <w:shd w:val="clear" w:color="000000" w:fill="FFFFFF"/>
            <w:hideMark/>
          </w:tcPr>
          <w:p w14:paraId="049B023E" w14:textId="74F636C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Desorden en el manejo de archivo físico como electrónico, lo que no permite establecer la trazabilidad de la información.</w:t>
            </w:r>
          </w:p>
        </w:tc>
        <w:tc>
          <w:tcPr>
            <w:tcW w:w="1635" w:type="dxa"/>
            <w:shd w:val="clear" w:color="000000" w:fill="FFFFFF"/>
            <w:hideMark/>
          </w:tcPr>
          <w:p w14:paraId="40BED74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seguimiento al cumplimiento de la aplicación del Procedimiento de Gestión de Archivo a Nivel Nacional.</w:t>
            </w:r>
            <w:r w:rsidRPr="00853EB6">
              <w:rPr>
                <w:rFonts w:ascii="Arial" w:eastAsia="Times New Roman" w:hAnsi="Arial" w:cs="Arial"/>
                <w:sz w:val="16"/>
                <w:szCs w:val="16"/>
                <w:lang w:eastAsia="es-CO"/>
              </w:rPr>
              <w:br/>
              <w:t>Con relación al archivo de documentos electrónicos programar mesas de trabajo con las dependencias responsables del Proyecto Evoluciona, para determinar su continuidad.</w:t>
            </w:r>
          </w:p>
        </w:tc>
        <w:tc>
          <w:tcPr>
            <w:tcW w:w="1910" w:type="dxa"/>
            <w:shd w:val="clear" w:color="000000" w:fill="FFFFFF"/>
            <w:hideMark/>
          </w:tcPr>
          <w:p w14:paraId="6C18EE4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Solicitar informes trimestrales de gestión de archivo a las Subdirecciones Regionales y consolidarla.</w:t>
            </w:r>
          </w:p>
        </w:tc>
        <w:tc>
          <w:tcPr>
            <w:tcW w:w="1403" w:type="dxa"/>
            <w:shd w:val="clear" w:color="000000" w:fill="FFFFFF"/>
            <w:hideMark/>
          </w:tcPr>
          <w:p w14:paraId="137B310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Informes consolidados estado gestión de archivo.</w:t>
            </w:r>
          </w:p>
        </w:tc>
        <w:tc>
          <w:tcPr>
            <w:tcW w:w="692" w:type="dxa"/>
            <w:shd w:val="clear" w:color="000000" w:fill="FFFFFF"/>
            <w:hideMark/>
          </w:tcPr>
          <w:p w14:paraId="7814BBC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w:t>
            </w:r>
          </w:p>
        </w:tc>
        <w:tc>
          <w:tcPr>
            <w:tcW w:w="941" w:type="dxa"/>
            <w:shd w:val="clear" w:color="000000" w:fill="FFFFFF"/>
            <w:hideMark/>
          </w:tcPr>
          <w:p w14:paraId="4E7479C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31/07/2020</w:t>
            </w:r>
          </w:p>
        </w:tc>
        <w:tc>
          <w:tcPr>
            <w:tcW w:w="1047" w:type="dxa"/>
            <w:shd w:val="clear" w:color="000000" w:fill="FFFFFF"/>
            <w:hideMark/>
          </w:tcPr>
          <w:p w14:paraId="657112B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31/01/2021</w:t>
            </w:r>
          </w:p>
        </w:tc>
        <w:tc>
          <w:tcPr>
            <w:tcW w:w="879" w:type="dxa"/>
            <w:shd w:val="clear" w:color="000000" w:fill="FFFFFF"/>
            <w:hideMark/>
          </w:tcPr>
          <w:p w14:paraId="0D923CD1"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3</w:t>
            </w:r>
          </w:p>
        </w:tc>
        <w:tc>
          <w:tcPr>
            <w:tcW w:w="959" w:type="dxa"/>
            <w:shd w:val="clear" w:color="000000" w:fill="FFFFFF"/>
            <w:hideMark/>
          </w:tcPr>
          <w:p w14:paraId="3E33E4A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1BAEA9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30-6-2021 se evidenció tres informes (matrices) que corresponden al reporte que </w:t>
            </w:r>
            <w:proofErr w:type="spellStart"/>
            <w:r w:rsidRPr="00853EB6">
              <w:rPr>
                <w:rFonts w:ascii="Arial" w:eastAsia="Times New Roman" w:hAnsi="Arial" w:cs="Arial"/>
                <w:sz w:val="16"/>
                <w:szCs w:val="16"/>
                <w:lang w:eastAsia="es-CO"/>
              </w:rPr>
              <w:t>periodicamente</w:t>
            </w:r>
            <w:proofErr w:type="spellEnd"/>
            <w:r w:rsidRPr="00853EB6">
              <w:rPr>
                <w:rFonts w:ascii="Arial" w:eastAsia="Times New Roman" w:hAnsi="Arial" w:cs="Arial"/>
                <w:sz w:val="16"/>
                <w:szCs w:val="16"/>
                <w:lang w:eastAsia="es-CO"/>
              </w:rPr>
              <w:t xml:space="preserve"> realizan las Direcciones Seccionales a la Subdirección de Gestión Documental de cada una de las actividades </w:t>
            </w:r>
            <w:proofErr w:type="spellStart"/>
            <w:r w:rsidRPr="00853EB6">
              <w:rPr>
                <w:rFonts w:ascii="Arial" w:eastAsia="Times New Roman" w:hAnsi="Arial" w:cs="Arial"/>
                <w:sz w:val="16"/>
                <w:szCs w:val="16"/>
                <w:lang w:eastAsia="es-CO"/>
              </w:rPr>
              <w:t>realiazadas</w:t>
            </w:r>
            <w:proofErr w:type="spellEnd"/>
            <w:r w:rsidRPr="00853EB6">
              <w:rPr>
                <w:rFonts w:ascii="Arial" w:eastAsia="Times New Roman" w:hAnsi="Arial" w:cs="Arial"/>
                <w:sz w:val="16"/>
                <w:szCs w:val="16"/>
                <w:lang w:eastAsia="es-CO"/>
              </w:rPr>
              <w:t xml:space="preserve"> en cumplimiento al plan de mejoramiento.</w:t>
            </w:r>
          </w:p>
        </w:tc>
      </w:tr>
      <w:tr w:rsidR="00853EB6" w:rsidRPr="00853EB6" w14:paraId="38992F9E" w14:textId="77777777" w:rsidTr="00853EB6">
        <w:trPr>
          <w:trHeight w:val="2550"/>
        </w:trPr>
        <w:tc>
          <w:tcPr>
            <w:tcW w:w="2684" w:type="dxa"/>
            <w:shd w:val="clear" w:color="000000" w:fill="FFFFFF"/>
            <w:vAlign w:val="center"/>
            <w:hideMark/>
          </w:tcPr>
          <w:p w14:paraId="6EA87A2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 xml:space="preserve">N° 24. </w:t>
            </w:r>
            <w:proofErr w:type="spellStart"/>
            <w:r w:rsidRPr="00853EB6">
              <w:rPr>
                <w:rFonts w:ascii="Arial" w:eastAsia="Times New Roman" w:hAnsi="Arial" w:cs="Arial"/>
                <w:b/>
                <w:bCs/>
                <w:sz w:val="16"/>
                <w:szCs w:val="16"/>
                <w:lang w:eastAsia="es-CO"/>
              </w:rPr>
              <w:t>Gestión</w:t>
            </w:r>
            <w:proofErr w:type="spellEnd"/>
            <w:r w:rsidRPr="00853EB6">
              <w:rPr>
                <w:rFonts w:ascii="Arial" w:eastAsia="Times New Roman" w:hAnsi="Arial" w:cs="Arial"/>
                <w:b/>
                <w:bCs/>
                <w:sz w:val="16"/>
                <w:szCs w:val="16"/>
                <w:lang w:eastAsia="es-CO"/>
              </w:rPr>
              <w:t xml:space="preserve"> Documental (OI Otra </w:t>
            </w:r>
            <w:proofErr w:type="spellStart"/>
            <w:r w:rsidRPr="00853EB6">
              <w:rPr>
                <w:rFonts w:ascii="Arial" w:eastAsia="Times New Roman" w:hAnsi="Arial" w:cs="Arial"/>
                <w:b/>
                <w:bCs/>
                <w:sz w:val="16"/>
                <w:szCs w:val="16"/>
                <w:lang w:eastAsia="es-CO"/>
              </w:rPr>
              <w:t>Indicencia</w:t>
            </w:r>
            <w:proofErr w:type="spellEnd"/>
            <w:r w:rsidRPr="00853EB6">
              <w:rPr>
                <w:rFonts w:ascii="Arial" w:eastAsia="Times New Roman" w:hAnsi="Arial" w:cs="Arial"/>
                <w:b/>
                <w:bCs/>
                <w:sz w:val="16"/>
                <w:szCs w:val="16"/>
                <w:lang w:eastAsia="es-CO"/>
              </w:rPr>
              <w:t xml:space="preserve"> – Archivo General de la </w:t>
            </w:r>
            <w:proofErr w:type="spellStart"/>
            <w:r w:rsidRPr="00853EB6">
              <w:rPr>
                <w:rFonts w:ascii="Arial" w:eastAsia="Times New Roman" w:hAnsi="Arial" w:cs="Arial"/>
                <w:b/>
                <w:bCs/>
                <w:sz w:val="16"/>
                <w:szCs w:val="16"/>
                <w:lang w:eastAsia="es-CO"/>
              </w:rPr>
              <w:t>Nación</w:t>
            </w:r>
            <w:proofErr w:type="spellEnd"/>
            <w:r w:rsidRPr="00853EB6">
              <w:rPr>
                <w:rFonts w:ascii="Arial" w:eastAsia="Times New Roman" w:hAnsi="Arial" w:cs="Arial"/>
                <w:b/>
                <w:bCs/>
                <w:sz w:val="16"/>
                <w:szCs w:val="16"/>
                <w:lang w:eastAsia="es-CO"/>
              </w:rPr>
              <w:t>).</w:t>
            </w:r>
            <w:r w:rsidRPr="00853EB6">
              <w:rPr>
                <w:rFonts w:ascii="Arial" w:eastAsia="Times New Roman" w:hAnsi="Arial" w:cs="Arial"/>
                <w:sz w:val="16"/>
                <w:szCs w:val="16"/>
                <w:lang w:eastAsia="es-CO"/>
              </w:rPr>
              <w:t xml:space="preserve"> Se observa falta de organización archivística de los documentos, no se evidencia conservación física de documentos soporte o fuentes que garanticen la autenticidad, integridad e inalterabilidad de la información y dificulta la trazabilidad de los documentos electrónicos.</w:t>
            </w:r>
          </w:p>
        </w:tc>
        <w:tc>
          <w:tcPr>
            <w:tcW w:w="1412" w:type="dxa"/>
            <w:shd w:val="clear" w:color="000000" w:fill="FFFFFF"/>
            <w:hideMark/>
          </w:tcPr>
          <w:p w14:paraId="5062526D" w14:textId="658283DD"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Desorden en el manejo de archivo físico como electrónico, lo que no permite establecer la trazabilidad de la información.</w:t>
            </w:r>
          </w:p>
        </w:tc>
        <w:tc>
          <w:tcPr>
            <w:tcW w:w="1635" w:type="dxa"/>
            <w:shd w:val="clear" w:color="000000" w:fill="FFFFFF"/>
            <w:hideMark/>
          </w:tcPr>
          <w:p w14:paraId="2D28BB7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seguimiento al cumplimiento de la aplicación del Procedimiento de Gestión de Archivo a Nivel Nacional.</w:t>
            </w:r>
            <w:r w:rsidRPr="00853EB6">
              <w:rPr>
                <w:rFonts w:ascii="Arial" w:eastAsia="Times New Roman" w:hAnsi="Arial" w:cs="Arial"/>
                <w:sz w:val="16"/>
                <w:szCs w:val="16"/>
                <w:lang w:eastAsia="es-CO"/>
              </w:rPr>
              <w:br/>
              <w:t>Con relación al archivo de documentos electrónicos programar mesas de trabajo con las dependencias responsables del Proyecto Evoluciona, para determinar su continuidad.</w:t>
            </w:r>
          </w:p>
        </w:tc>
        <w:tc>
          <w:tcPr>
            <w:tcW w:w="1910" w:type="dxa"/>
            <w:shd w:val="clear" w:color="000000" w:fill="FFFFFF"/>
            <w:hideMark/>
          </w:tcPr>
          <w:p w14:paraId="6F49DA0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seguimiento a través de visitas internas de manera aleatoria con el fin de garantizar el debido cumplimiento.</w:t>
            </w:r>
          </w:p>
        </w:tc>
        <w:tc>
          <w:tcPr>
            <w:tcW w:w="1403" w:type="dxa"/>
            <w:shd w:val="clear" w:color="000000" w:fill="FFFFFF"/>
            <w:hideMark/>
          </w:tcPr>
          <w:p w14:paraId="7F3D91F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las visitas realizadas.</w:t>
            </w:r>
          </w:p>
        </w:tc>
        <w:tc>
          <w:tcPr>
            <w:tcW w:w="692" w:type="dxa"/>
            <w:shd w:val="clear" w:color="000000" w:fill="FFFFFF"/>
            <w:hideMark/>
          </w:tcPr>
          <w:p w14:paraId="7815615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w:t>
            </w:r>
          </w:p>
        </w:tc>
        <w:tc>
          <w:tcPr>
            <w:tcW w:w="941" w:type="dxa"/>
            <w:shd w:val="clear" w:color="000000" w:fill="FFFFFF"/>
            <w:hideMark/>
          </w:tcPr>
          <w:p w14:paraId="6744DBE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8/01/2021</w:t>
            </w:r>
          </w:p>
        </w:tc>
        <w:tc>
          <w:tcPr>
            <w:tcW w:w="1047" w:type="dxa"/>
            <w:shd w:val="clear" w:color="000000" w:fill="FFFFFF"/>
            <w:hideMark/>
          </w:tcPr>
          <w:p w14:paraId="57B5839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30/06/2021</w:t>
            </w:r>
          </w:p>
        </w:tc>
        <w:tc>
          <w:tcPr>
            <w:tcW w:w="879" w:type="dxa"/>
            <w:shd w:val="clear" w:color="000000" w:fill="FFFFFF"/>
            <w:hideMark/>
          </w:tcPr>
          <w:p w14:paraId="53EF330A"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3</w:t>
            </w:r>
          </w:p>
        </w:tc>
        <w:tc>
          <w:tcPr>
            <w:tcW w:w="959" w:type="dxa"/>
            <w:shd w:val="clear" w:color="000000" w:fill="FFFFFF"/>
            <w:hideMark/>
          </w:tcPr>
          <w:p w14:paraId="1A85DF3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7E2F33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30-6-2021 se evidenció tres informes de visitas realizadas a las seccionales Meta (12/3/2021), Cali (17/3/2021) y Nariño (10/3/2021). </w:t>
            </w:r>
          </w:p>
        </w:tc>
      </w:tr>
      <w:tr w:rsidR="00853EB6" w:rsidRPr="00853EB6" w14:paraId="7A669813" w14:textId="77777777" w:rsidTr="00853EB6">
        <w:trPr>
          <w:trHeight w:val="2805"/>
        </w:trPr>
        <w:tc>
          <w:tcPr>
            <w:tcW w:w="2684" w:type="dxa"/>
            <w:shd w:val="clear" w:color="000000" w:fill="FFFFFF"/>
            <w:vAlign w:val="center"/>
            <w:hideMark/>
          </w:tcPr>
          <w:p w14:paraId="2488C5F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 51 Servicio de Mantenimiento Preventivo y Correctivo Contrato 16 SRAEC</w:t>
            </w:r>
            <w:r w:rsidRPr="00853EB6">
              <w:rPr>
                <w:rFonts w:ascii="Arial" w:eastAsia="Times New Roman" w:hAnsi="Arial" w:cs="Arial"/>
                <w:sz w:val="16"/>
                <w:szCs w:val="16"/>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1412" w:type="dxa"/>
            <w:shd w:val="clear" w:color="000000" w:fill="FFFFFF"/>
            <w:hideMark/>
          </w:tcPr>
          <w:p w14:paraId="2E1F33D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626DDD3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Dirección de Altos Estudios una capacitación en contratación pública</w:t>
            </w:r>
          </w:p>
        </w:tc>
        <w:tc>
          <w:tcPr>
            <w:tcW w:w="1910" w:type="dxa"/>
            <w:shd w:val="clear" w:color="000000" w:fill="FFFFFF"/>
            <w:hideMark/>
          </w:tcPr>
          <w:p w14:paraId="6C29A07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Sesiones virtuales   a los intervinientes en la gestión contractual</w:t>
            </w:r>
          </w:p>
        </w:tc>
        <w:tc>
          <w:tcPr>
            <w:tcW w:w="1403" w:type="dxa"/>
            <w:shd w:val="clear" w:color="000000" w:fill="FFFFFF"/>
            <w:hideMark/>
          </w:tcPr>
          <w:p w14:paraId="13FE0D6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Grabación de la capacitación</w:t>
            </w:r>
          </w:p>
        </w:tc>
        <w:tc>
          <w:tcPr>
            <w:tcW w:w="692" w:type="dxa"/>
            <w:shd w:val="clear" w:color="000000" w:fill="FFFFFF"/>
            <w:hideMark/>
          </w:tcPr>
          <w:p w14:paraId="14554BB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274570E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1-jul-20</w:t>
            </w:r>
          </w:p>
        </w:tc>
        <w:tc>
          <w:tcPr>
            <w:tcW w:w="1047" w:type="dxa"/>
            <w:shd w:val="clear" w:color="000000" w:fill="FFFFFF"/>
            <w:hideMark/>
          </w:tcPr>
          <w:p w14:paraId="2E09698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669C2A32"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100BA46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6B860C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proofErr w:type="spellStart"/>
            <w:r w:rsidRPr="00853EB6">
              <w:rPr>
                <w:rFonts w:ascii="Arial" w:eastAsia="Times New Roman" w:hAnsi="Arial" w:cs="Arial"/>
                <w:sz w:val="16"/>
                <w:szCs w:val="16"/>
                <w:lang w:eastAsia="es-CO"/>
              </w:rPr>
              <w:t>academicas</w:t>
            </w:r>
            <w:proofErr w:type="spellEnd"/>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6F735122" w14:textId="77777777" w:rsidTr="00853EB6">
        <w:trPr>
          <w:trHeight w:val="760"/>
        </w:trPr>
        <w:tc>
          <w:tcPr>
            <w:tcW w:w="2684" w:type="dxa"/>
            <w:shd w:val="clear" w:color="000000" w:fill="FFFFFF"/>
            <w:vAlign w:val="center"/>
            <w:hideMark/>
          </w:tcPr>
          <w:p w14:paraId="39AF9D1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No. 51 Servicio de Mantenimiento Preventivo y Correctivo Contrato 16 SRAEC</w:t>
            </w:r>
            <w:r w:rsidRPr="00853EB6">
              <w:rPr>
                <w:rFonts w:ascii="Arial" w:eastAsia="Times New Roman" w:hAnsi="Arial" w:cs="Arial"/>
                <w:sz w:val="16"/>
                <w:szCs w:val="16"/>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1412" w:type="dxa"/>
            <w:shd w:val="clear" w:color="000000" w:fill="FFFFFF"/>
            <w:hideMark/>
          </w:tcPr>
          <w:p w14:paraId="212AA7C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5E612EA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Aplicación de una encuesta relacionada con temas de la capacitación  </w:t>
            </w:r>
          </w:p>
        </w:tc>
        <w:tc>
          <w:tcPr>
            <w:tcW w:w="1910" w:type="dxa"/>
            <w:shd w:val="clear" w:color="000000" w:fill="FFFFFF"/>
            <w:hideMark/>
          </w:tcPr>
          <w:p w14:paraId="33CCF30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Remitir vía correo electrónico la encuesta a los servidores del proceso a nivel Nacional </w:t>
            </w:r>
          </w:p>
        </w:tc>
        <w:tc>
          <w:tcPr>
            <w:tcW w:w="1403" w:type="dxa"/>
            <w:shd w:val="clear" w:color="000000" w:fill="FFFFFF"/>
            <w:hideMark/>
          </w:tcPr>
          <w:p w14:paraId="5893F91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PDF de las encuestas diligenciadas y correo remisorio</w:t>
            </w:r>
          </w:p>
        </w:tc>
        <w:tc>
          <w:tcPr>
            <w:tcW w:w="692" w:type="dxa"/>
            <w:shd w:val="clear" w:color="000000" w:fill="FFFFFF"/>
            <w:hideMark/>
          </w:tcPr>
          <w:p w14:paraId="3FC7748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61CED12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1-sep-20</w:t>
            </w:r>
          </w:p>
        </w:tc>
        <w:tc>
          <w:tcPr>
            <w:tcW w:w="1047" w:type="dxa"/>
            <w:shd w:val="clear" w:color="000000" w:fill="FFFFFF"/>
            <w:hideMark/>
          </w:tcPr>
          <w:p w14:paraId="563A00F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03A7840A"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4C812B0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6AD3FBE" w14:textId="18F108C1"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752A50D5" w14:textId="77777777" w:rsidTr="00853EB6">
        <w:trPr>
          <w:trHeight w:val="3120"/>
        </w:trPr>
        <w:tc>
          <w:tcPr>
            <w:tcW w:w="2684" w:type="dxa"/>
            <w:shd w:val="clear" w:color="000000" w:fill="FFFFFF"/>
            <w:vAlign w:val="center"/>
            <w:hideMark/>
          </w:tcPr>
          <w:p w14:paraId="6574447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 51 Servicio de Mantenimiento Preventivo y Correctivo Contrato 16 SRAEC</w:t>
            </w:r>
            <w:r w:rsidRPr="00853EB6">
              <w:rPr>
                <w:rFonts w:ascii="Arial" w:eastAsia="Times New Roman" w:hAnsi="Arial" w:cs="Arial"/>
                <w:sz w:val="16"/>
                <w:szCs w:val="16"/>
                <w:lang w:eastAsia="es-CO"/>
              </w:rPr>
              <w:t xml:space="preserve">. No existe autorización para la modificación de las condiciones pactadas, el contratista no entregó certificado de disposición final de los repuestos-lubricantes-llantas-baterías y No hay evidencia de control que garantice el cumplimiento de las obligaciones en el cambio de los repuestos en su calidad de genuinos </w:t>
            </w:r>
          </w:p>
        </w:tc>
        <w:tc>
          <w:tcPr>
            <w:tcW w:w="1412" w:type="dxa"/>
            <w:shd w:val="clear" w:color="000000" w:fill="FFFFFF"/>
            <w:hideMark/>
          </w:tcPr>
          <w:p w14:paraId="3874278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Deficiencias en la labor de supervisión, que pueden</w:t>
            </w:r>
            <w:r w:rsidRPr="00853EB6">
              <w:rPr>
                <w:rFonts w:ascii="Arial" w:eastAsia="Times New Roman" w:hAnsi="Arial" w:cs="Arial"/>
                <w:sz w:val="16"/>
                <w:szCs w:val="16"/>
                <w:lang w:eastAsia="es-CO"/>
              </w:rPr>
              <w:br/>
              <w:t>ocasionar que el parque automotor al servicio de la FGN, no se encuentre en</w:t>
            </w:r>
            <w:r w:rsidRPr="00853EB6">
              <w:rPr>
                <w:rFonts w:ascii="Arial" w:eastAsia="Times New Roman" w:hAnsi="Arial" w:cs="Arial"/>
                <w:sz w:val="16"/>
                <w:szCs w:val="16"/>
                <w:lang w:eastAsia="es-CO"/>
              </w:rPr>
              <w:br/>
              <w:t>condiciones óptimas de funcionamiento y riesgo de pagar por servicios que no</w:t>
            </w:r>
            <w:r w:rsidRPr="00853EB6">
              <w:rPr>
                <w:rFonts w:ascii="Arial" w:eastAsia="Times New Roman" w:hAnsi="Arial" w:cs="Arial"/>
                <w:sz w:val="16"/>
                <w:szCs w:val="16"/>
                <w:lang w:eastAsia="es-CO"/>
              </w:rPr>
              <w:br/>
              <w:t>cumplan las cláusulas pactadas.</w:t>
            </w:r>
          </w:p>
        </w:tc>
        <w:tc>
          <w:tcPr>
            <w:tcW w:w="1635" w:type="dxa"/>
            <w:shd w:val="clear" w:color="000000" w:fill="FFFFFF"/>
            <w:hideMark/>
          </w:tcPr>
          <w:p w14:paraId="12302D54" w14:textId="1C3A150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Solicitar apoyo con los responsables de Transportes de la Regional y lideres en talleres para aumentar el control en servicios de mantenimiento. Seguimiento </w:t>
            </w:r>
            <w:r w:rsidR="0000184D" w:rsidRPr="00853EB6">
              <w:rPr>
                <w:rFonts w:ascii="Arial" w:eastAsia="Times New Roman" w:hAnsi="Arial" w:cs="Arial"/>
                <w:sz w:val="16"/>
                <w:szCs w:val="16"/>
                <w:lang w:eastAsia="es-CO"/>
              </w:rPr>
              <w:t>periódico</w:t>
            </w:r>
            <w:r w:rsidRPr="00853EB6">
              <w:rPr>
                <w:rFonts w:ascii="Arial" w:eastAsia="Times New Roman" w:hAnsi="Arial" w:cs="Arial"/>
                <w:sz w:val="16"/>
                <w:szCs w:val="16"/>
                <w:lang w:eastAsia="es-CO"/>
              </w:rPr>
              <w:t xml:space="preserve"> a la chatarra saliente para la recogida y adecuar un sitio de almacenamiento para la misma en caso de la destinación final que disponga la Subdirección Regional de Apoyo o la Coordinación de Bienes.</w:t>
            </w:r>
          </w:p>
        </w:tc>
        <w:tc>
          <w:tcPr>
            <w:tcW w:w="1910" w:type="dxa"/>
            <w:shd w:val="clear" w:color="000000" w:fill="FFFFFF"/>
            <w:hideMark/>
          </w:tcPr>
          <w:p w14:paraId="220247E7" w14:textId="296D81B9"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Requerir al contratista que entregue el certificado de </w:t>
            </w:r>
            <w:r w:rsidR="0000184D" w:rsidRPr="00853EB6">
              <w:rPr>
                <w:rFonts w:ascii="Arial" w:eastAsia="Times New Roman" w:hAnsi="Arial" w:cs="Arial"/>
                <w:sz w:val="16"/>
                <w:szCs w:val="16"/>
                <w:lang w:eastAsia="es-CO"/>
              </w:rPr>
              <w:t>disposición</w:t>
            </w:r>
            <w:r w:rsidRPr="00853EB6">
              <w:rPr>
                <w:rFonts w:ascii="Arial" w:eastAsia="Times New Roman" w:hAnsi="Arial" w:cs="Arial"/>
                <w:sz w:val="16"/>
                <w:szCs w:val="16"/>
                <w:lang w:eastAsia="es-CO"/>
              </w:rPr>
              <w:t xml:space="preserve"> final de los repuestos cambiados al parque automotor que haya tenido mantenimientos en ese periodo </w:t>
            </w:r>
          </w:p>
        </w:tc>
        <w:tc>
          <w:tcPr>
            <w:tcW w:w="1403" w:type="dxa"/>
            <w:shd w:val="clear" w:color="000000" w:fill="FFFFFF"/>
            <w:hideMark/>
          </w:tcPr>
          <w:p w14:paraId="4C8D295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mensual con Certificaciones</w:t>
            </w:r>
          </w:p>
        </w:tc>
        <w:tc>
          <w:tcPr>
            <w:tcW w:w="692" w:type="dxa"/>
            <w:shd w:val="clear" w:color="000000" w:fill="FFFFFF"/>
            <w:hideMark/>
          </w:tcPr>
          <w:p w14:paraId="5E7869F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4C86F84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1/07/2020</w:t>
            </w:r>
          </w:p>
        </w:tc>
        <w:tc>
          <w:tcPr>
            <w:tcW w:w="1047" w:type="dxa"/>
            <w:shd w:val="clear" w:color="000000" w:fill="FFFFFF"/>
            <w:hideMark/>
          </w:tcPr>
          <w:p w14:paraId="70EEE4A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31/12/2020</w:t>
            </w:r>
          </w:p>
        </w:tc>
        <w:tc>
          <w:tcPr>
            <w:tcW w:w="879" w:type="dxa"/>
            <w:shd w:val="clear" w:color="000000" w:fill="FFFFFF"/>
            <w:hideMark/>
          </w:tcPr>
          <w:p w14:paraId="3B9AA153"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362BB8D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4122F55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30-06-2021 se evidenciaron los 6 informes de 2020 con certificaciones.</w:t>
            </w:r>
          </w:p>
        </w:tc>
      </w:tr>
      <w:tr w:rsidR="00853EB6" w:rsidRPr="00853EB6" w14:paraId="4540BE2B" w14:textId="77777777" w:rsidTr="00853EB6">
        <w:trPr>
          <w:trHeight w:val="193"/>
        </w:trPr>
        <w:tc>
          <w:tcPr>
            <w:tcW w:w="2684" w:type="dxa"/>
            <w:shd w:val="clear" w:color="000000" w:fill="FFFFFF"/>
            <w:vAlign w:val="center"/>
            <w:hideMark/>
          </w:tcPr>
          <w:p w14:paraId="63319273" w14:textId="458691A0"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 xml:space="preserve">Nro. 58.  Pago de Servicios públicos. </w:t>
            </w:r>
            <w:r w:rsidRPr="00853EB6">
              <w:rPr>
                <w:rFonts w:ascii="Arial" w:eastAsia="Times New Roman" w:hAnsi="Arial" w:cs="Arial"/>
                <w:sz w:val="16"/>
                <w:szCs w:val="16"/>
                <w:lang w:eastAsia="es-CO"/>
              </w:rPr>
              <w:t xml:space="preserve">No se </w:t>
            </w:r>
            <w:r w:rsidR="0000184D" w:rsidRPr="00853EB6">
              <w:rPr>
                <w:rFonts w:ascii="Arial" w:eastAsia="Times New Roman" w:hAnsi="Arial" w:cs="Arial"/>
                <w:sz w:val="16"/>
                <w:szCs w:val="16"/>
                <w:lang w:eastAsia="es-CO"/>
              </w:rPr>
              <w:t>están</w:t>
            </w:r>
            <w:r w:rsidRPr="00853EB6">
              <w:rPr>
                <w:rFonts w:ascii="Arial" w:eastAsia="Times New Roman" w:hAnsi="Arial" w:cs="Arial"/>
                <w:sz w:val="16"/>
                <w:szCs w:val="16"/>
                <w:lang w:eastAsia="es-CO"/>
              </w:rPr>
              <w:t xml:space="preserve"> pagando oportunamente los servicios </w:t>
            </w:r>
            <w:r w:rsidR="0000184D" w:rsidRPr="00853EB6">
              <w:rPr>
                <w:rFonts w:ascii="Arial" w:eastAsia="Times New Roman" w:hAnsi="Arial" w:cs="Arial"/>
                <w:sz w:val="16"/>
                <w:szCs w:val="16"/>
                <w:lang w:eastAsia="es-CO"/>
              </w:rPr>
              <w:t>públicos</w:t>
            </w:r>
            <w:r w:rsidRPr="00853EB6">
              <w:rPr>
                <w:rFonts w:ascii="Arial" w:eastAsia="Times New Roman" w:hAnsi="Arial" w:cs="Arial"/>
                <w:sz w:val="16"/>
                <w:szCs w:val="16"/>
                <w:lang w:eastAsia="es-CO"/>
              </w:rPr>
              <w:t xml:space="preserve"> en la Regional de Apoyo Pacífico.</w:t>
            </w:r>
          </w:p>
        </w:tc>
        <w:tc>
          <w:tcPr>
            <w:tcW w:w="1412" w:type="dxa"/>
            <w:shd w:val="clear" w:color="000000" w:fill="FFFFFF"/>
            <w:hideMark/>
          </w:tcPr>
          <w:p w14:paraId="7FCC38B7" w14:textId="22F1E0E3"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Las facturas de servicios </w:t>
            </w:r>
            <w:r w:rsidR="0000184D" w:rsidRPr="00853EB6">
              <w:rPr>
                <w:rFonts w:ascii="Arial" w:eastAsia="Times New Roman" w:hAnsi="Arial" w:cs="Arial"/>
                <w:sz w:val="16"/>
                <w:szCs w:val="16"/>
                <w:lang w:eastAsia="es-CO"/>
              </w:rPr>
              <w:t>públicos</w:t>
            </w:r>
            <w:r w:rsidRPr="00853EB6">
              <w:rPr>
                <w:rFonts w:ascii="Arial" w:eastAsia="Times New Roman" w:hAnsi="Arial" w:cs="Arial"/>
                <w:sz w:val="16"/>
                <w:szCs w:val="16"/>
                <w:lang w:eastAsia="es-CO"/>
              </w:rPr>
              <w:t xml:space="preserve"> no llegan a tiempo para pago en la Subdirección Regional de Apoyo Pacífico</w:t>
            </w:r>
          </w:p>
        </w:tc>
        <w:tc>
          <w:tcPr>
            <w:tcW w:w="1635" w:type="dxa"/>
            <w:shd w:val="clear" w:color="000000" w:fill="FFFFFF"/>
            <w:hideMark/>
          </w:tcPr>
          <w:p w14:paraId="5B779760" w14:textId="4ED40D8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Reportar mensualmente al Departamento de Administración de Sedes del Nivel Central o al que haga sus veces en las Subdirecciones Regionales, el pago oportuno de las facturas de servicios </w:t>
            </w:r>
            <w:r w:rsidR="0000184D" w:rsidRPr="00853EB6">
              <w:rPr>
                <w:rFonts w:ascii="Arial" w:eastAsia="Times New Roman" w:hAnsi="Arial" w:cs="Arial"/>
                <w:sz w:val="16"/>
                <w:szCs w:val="16"/>
                <w:lang w:eastAsia="es-CO"/>
              </w:rPr>
              <w:t>públicos</w:t>
            </w:r>
            <w:r w:rsidRPr="00853EB6">
              <w:rPr>
                <w:rFonts w:ascii="Arial" w:eastAsia="Times New Roman" w:hAnsi="Arial" w:cs="Arial"/>
                <w:sz w:val="16"/>
                <w:szCs w:val="16"/>
                <w:lang w:eastAsia="es-CO"/>
              </w:rPr>
              <w:t xml:space="preserve"> de las sedes de la Entidad a Nivel Nacional </w:t>
            </w:r>
          </w:p>
        </w:tc>
        <w:tc>
          <w:tcPr>
            <w:tcW w:w="1910" w:type="dxa"/>
            <w:shd w:val="clear" w:color="000000" w:fill="FFFFFF"/>
            <w:hideMark/>
          </w:tcPr>
          <w:p w14:paraId="4432EF32" w14:textId="364E5E92"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Establecer una directriz explicando y dando lineamientos para el diligenciamiento, remisión y ejecución del control para evitar el pago de los servicios de manera extemporánea.</w:t>
            </w:r>
          </w:p>
        </w:tc>
        <w:tc>
          <w:tcPr>
            <w:tcW w:w="1403" w:type="dxa"/>
            <w:shd w:val="clear" w:color="000000" w:fill="FFFFFF"/>
            <w:hideMark/>
          </w:tcPr>
          <w:p w14:paraId="710F2023" w14:textId="46A351DA"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Mediante Cuadro control, reportado por los responsables en las sedes</w:t>
            </w:r>
          </w:p>
        </w:tc>
        <w:tc>
          <w:tcPr>
            <w:tcW w:w="692" w:type="dxa"/>
            <w:shd w:val="clear" w:color="000000" w:fill="FFFFFF"/>
            <w:hideMark/>
          </w:tcPr>
          <w:p w14:paraId="6C50C9C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12</w:t>
            </w:r>
          </w:p>
        </w:tc>
        <w:tc>
          <w:tcPr>
            <w:tcW w:w="941" w:type="dxa"/>
            <w:shd w:val="clear" w:color="000000" w:fill="FFFFFF"/>
            <w:hideMark/>
          </w:tcPr>
          <w:p w14:paraId="725A139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1/07/2020</w:t>
            </w:r>
          </w:p>
        </w:tc>
        <w:tc>
          <w:tcPr>
            <w:tcW w:w="1047" w:type="dxa"/>
            <w:shd w:val="clear" w:color="000000" w:fill="FFFFFF"/>
            <w:hideMark/>
          </w:tcPr>
          <w:p w14:paraId="04AE4D2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30/06/2021</w:t>
            </w:r>
          </w:p>
        </w:tc>
        <w:tc>
          <w:tcPr>
            <w:tcW w:w="879" w:type="dxa"/>
            <w:shd w:val="clear" w:color="000000" w:fill="FFFFFF"/>
            <w:hideMark/>
          </w:tcPr>
          <w:p w14:paraId="17533577"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12</w:t>
            </w:r>
          </w:p>
        </w:tc>
        <w:tc>
          <w:tcPr>
            <w:tcW w:w="959" w:type="dxa"/>
            <w:shd w:val="clear" w:color="000000" w:fill="FFFFFF"/>
            <w:hideMark/>
          </w:tcPr>
          <w:p w14:paraId="6E36C66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683E9E03" w14:textId="0FA75DBD"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30-06-2021 se evidenció la implementación del formato FGN-AP04-F04 versión 02, para el control del pago de servicios públicos en las </w:t>
            </w:r>
            <w:r w:rsidR="0000184D" w:rsidRPr="00853EB6">
              <w:rPr>
                <w:rFonts w:ascii="Arial" w:eastAsia="Times New Roman" w:hAnsi="Arial" w:cs="Arial"/>
                <w:sz w:val="16"/>
                <w:szCs w:val="16"/>
                <w:lang w:eastAsia="es-CO"/>
              </w:rPr>
              <w:t>diferentes</w:t>
            </w:r>
            <w:r w:rsidRPr="00853EB6">
              <w:rPr>
                <w:rFonts w:ascii="Arial" w:eastAsia="Times New Roman" w:hAnsi="Arial" w:cs="Arial"/>
                <w:sz w:val="16"/>
                <w:szCs w:val="16"/>
                <w:lang w:eastAsia="es-CO"/>
              </w:rPr>
              <w:t xml:space="preserve"> sedes de la entidad a nivel nacional, sin embargo, se evidencia que varios formatos tanto de nivel central como de las regionales aportados no tienen la totalidad de los </w:t>
            </w:r>
            <w:r w:rsidRPr="00853EB6">
              <w:rPr>
                <w:rFonts w:ascii="Arial" w:eastAsia="Times New Roman" w:hAnsi="Arial" w:cs="Arial"/>
                <w:sz w:val="16"/>
                <w:szCs w:val="16"/>
                <w:lang w:eastAsia="es-CO"/>
              </w:rPr>
              <w:lastRenderedPageBreak/>
              <w:t>meses diligenciados para algunos servicios públicos.</w:t>
            </w:r>
          </w:p>
        </w:tc>
      </w:tr>
      <w:tr w:rsidR="00853EB6" w:rsidRPr="00853EB6" w14:paraId="3FB880EA" w14:textId="77777777" w:rsidTr="00853EB6">
        <w:trPr>
          <w:trHeight w:val="2295"/>
        </w:trPr>
        <w:tc>
          <w:tcPr>
            <w:tcW w:w="2684" w:type="dxa"/>
            <w:shd w:val="clear" w:color="000000" w:fill="FFFFFF"/>
            <w:vAlign w:val="center"/>
            <w:hideMark/>
          </w:tcPr>
          <w:p w14:paraId="4D1BA8A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Nro. 67 Pago servicio de diciembre de 2018 Contrato CN245 de 2018</w:t>
            </w:r>
            <w:r w:rsidRPr="00853EB6">
              <w:rPr>
                <w:rFonts w:ascii="Arial" w:eastAsia="Times New Roman" w:hAnsi="Arial" w:cs="Arial"/>
                <w:sz w:val="16"/>
                <w:szCs w:val="16"/>
                <w:lang w:eastAsia="es-CO"/>
              </w:rPr>
              <w:t xml:space="preserve">. Contrato CN0245 el 30/11/2018 se evidenció que en la ejecución contractual se produjo una incoherencia entre la cláusula quinta, sin que fuera identificada por el supervisor, de una </w:t>
            </w:r>
            <w:proofErr w:type="gramStart"/>
            <w:r w:rsidRPr="00853EB6">
              <w:rPr>
                <w:rFonts w:ascii="Arial" w:eastAsia="Times New Roman" w:hAnsi="Arial" w:cs="Arial"/>
                <w:sz w:val="16"/>
                <w:szCs w:val="16"/>
                <w:lang w:eastAsia="es-CO"/>
              </w:rPr>
              <w:t>parte</w:t>
            </w:r>
            <w:proofErr w:type="gramEnd"/>
            <w:r w:rsidRPr="00853EB6">
              <w:rPr>
                <w:rFonts w:ascii="Arial" w:eastAsia="Times New Roman" w:hAnsi="Arial" w:cs="Arial"/>
                <w:sz w:val="16"/>
                <w:szCs w:val="16"/>
                <w:lang w:eastAsia="es-CO"/>
              </w:rPr>
              <w:t xml:space="preserve"> el contratista inicia actividades el 3/11/2018 y de otra el acta de inicio se suscribe el 11/12/2018.  </w:t>
            </w:r>
          </w:p>
        </w:tc>
        <w:tc>
          <w:tcPr>
            <w:tcW w:w="1412" w:type="dxa"/>
            <w:shd w:val="clear" w:color="000000" w:fill="FFFFFF"/>
            <w:hideMark/>
          </w:tcPr>
          <w:p w14:paraId="3922565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3C5478A8" w14:textId="0642D1A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Dirección de Altos Estudios una capacitación en contratación pública</w:t>
            </w:r>
          </w:p>
        </w:tc>
        <w:tc>
          <w:tcPr>
            <w:tcW w:w="1910" w:type="dxa"/>
            <w:shd w:val="clear" w:color="000000" w:fill="FFFFFF"/>
            <w:hideMark/>
          </w:tcPr>
          <w:p w14:paraId="5FE3A1A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Sesiones virtuales   a los intervinientes en la gestión contractual</w:t>
            </w:r>
          </w:p>
        </w:tc>
        <w:tc>
          <w:tcPr>
            <w:tcW w:w="1403" w:type="dxa"/>
            <w:shd w:val="clear" w:color="000000" w:fill="FFFFFF"/>
            <w:hideMark/>
          </w:tcPr>
          <w:p w14:paraId="3ABD3C1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Grabación de la capacitación</w:t>
            </w:r>
          </w:p>
        </w:tc>
        <w:tc>
          <w:tcPr>
            <w:tcW w:w="692" w:type="dxa"/>
            <w:shd w:val="clear" w:color="000000" w:fill="FFFFFF"/>
            <w:hideMark/>
          </w:tcPr>
          <w:p w14:paraId="08B70F9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71DD76B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1-jul-20</w:t>
            </w:r>
          </w:p>
        </w:tc>
        <w:tc>
          <w:tcPr>
            <w:tcW w:w="1047" w:type="dxa"/>
            <w:shd w:val="clear" w:color="000000" w:fill="FFFFFF"/>
            <w:hideMark/>
          </w:tcPr>
          <w:p w14:paraId="581FE4B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3D902DD3"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5F3AD8D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1F85A99" w14:textId="090D918E"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27BECFE7" w14:textId="77777777" w:rsidTr="00853EB6">
        <w:trPr>
          <w:trHeight w:val="2295"/>
        </w:trPr>
        <w:tc>
          <w:tcPr>
            <w:tcW w:w="2684" w:type="dxa"/>
            <w:shd w:val="clear" w:color="000000" w:fill="FFFFFF"/>
            <w:vAlign w:val="center"/>
            <w:hideMark/>
          </w:tcPr>
          <w:p w14:paraId="21774EF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Nro. 67 Pago servicio de diciembre de 2018 Contrato CN245 de 2018</w:t>
            </w:r>
            <w:r w:rsidRPr="00853EB6">
              <w:rPr>
                <w:rFonts w:ascii="Arial" w:eastAsia="Times New Roman" w:hAnsi="Arial" w:cs="Arial"/>
                <w:sz w:val="16"/>
                <w:szCs w:val="16"/>
                <w:lang w:eastAsia="es-CO"/>
              </w:rPr>
              <w:t xml:space="preserve">. Contrato CN0245 el 30/11/2018 se evidenció que en la ejecución contractual se produjo una incoherencia entre la cláusula quinta, sin que fuera identificada por el supervisor, de una </w:t>
            </w:r>
            <w:proofErr w:type="gramStart"/>
            <w:r w:rsidRPr="00853EB6">
              <w:rPr>
                <w:rFonts w:ascii="Arial" w:eastAsia="Times New Roman" w:hAnsi="Arial" w:cs="Arial"/>
                <w:sz w:val="16"/>
                <w:szCs w:val="16"/>
                <w:lang w:eastAsia="es-CO"/>
              </w:rPr>
              <w:t>parte</w:t>
            </w:r>
            <w:proofErr w:type="gramEnd"/>
            <w:r w:rsidRPr="00853EB6">
              <w:rPr>
                <w:rFonts w:ascii="Arial" w:eastAsia="Times New Roman" w:hAnsi="Arial" w:cs="Arial"/>
                <w:sz w:val="16"/>
                <w:szCs w:val="16"/>
                <w:lang w:eastAsia="es-CO"/>
              </w:rPr>
              <w:t xml:space="preserve"> el contratista inicia actividades el 3/11/2018 y de otra el acta de inicio se suscribe el 11/12/2018.  </w:t>
            </w:r>
          </w:p>
        </w:tc>
        <w:tc>
          <w:tcPr>
            <w:tcW w:w="1412" w:type="dxa"/>
            <w:shd w:val="clear" w:color="000000" w:fill="FFFFFF"/>
            <w:hideMark/>
          </w:tcPr>
          <w:p w14:paraId="791E04C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00B5B36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Aplicación de una encuesta relacionada con temas de la capacitación  </w:t>
            </w:r>
          </w:p>
        </w:tc>
        <w:tc>
          <w:tcPr>
            <w:tcW w:w="1910" w:type="dxa"/>
            <w:shd w:val="clear" w:color="000000" w:fill="FFFFFF"/>
            <w:hideMark/>
          </w:tcPr>
          <w:p w14:paraId="52E4D8E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Remitir vía correo electrónico la encuesta a los servidores del proceso a nivel Nacional </w:t>
            </w:r>
          </w:p>
        </w:tc>
        <w:tc>
          <w:tcPr>
            <w:tcW w:w="1403" w:type="dxa"/>
            <w:shd w:val="clear" w:color="000000" w:fill="FFFFFF"/>
            <w:hideMark/>
          </w:tcPr>
          <w:p w14:paraId="306249D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PDF de las encuestas diligenciadas y correo remisorio</w:t>
            </w:r>
          </w:p>
        </w:tc>
        <w:tc>
          <w:tcPr>
            <w:tcW w:w="692" w:type="dxa"/>
            <w:shd w:val="clear" w:color="000000" w:fill="FFFFFF"/>
            <w:hideMark/>
          </w:tcPr>
          <w:p w14:paraId="45B6DBB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131736C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1-sep-20</w:t>
            </w:r>
          </w:p>
        </w:tc>
        <w:tc>
          <w:tcPr>
            <w:tcW w:w="1047" w:type="dxa"/>
            <w:shd w:val="clear" w:color="000000" w:fill="FFFFFF"/>
            <w:hideMark/>
          </w:tcPr>
          <w:p w14:paraId="7C9D0E1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3C1B8939"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076C2BB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0C11F3B3" w14:textId="01E27D8B"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57BCFB39" w14:textId="77777777" w:rsidTr="00853EB6">
        <w:trPr>
          <w:trHeight w:val="2805"/>
        </w:trPr>
        <w:tc>
          <w:tcPr>
            <w:tcW w:w="2684" w:type="dxa"/>
            <w:shd w:val="clear" w:color="000000" w:fill="FFFFFF"/>
            <w:vAlign w:val="center"/>
            <w:hideMark/>
          </w:tcPr>
          <w:p w14:paraId="04510D9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Nro. 75 Supervisión Construcción Obras Bolívar</w:t>
            </w:r>
            <w:r w:rsidRPr="00853EB6">
              <w:rPr>
                <w:rFonts w:ascii="Arial" w:eastAsia="Times New Roman" w:hAnsi="Arial" w:cs="Arial"/>
                <w:sz w:val="16"/>
                <w:szCs w:val="16"/>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1412" w:type="dxa"/>
            <w:shd w:val="clear" w:color="000000" w:fill="FFFFFF"/>
            <w:hideMark/>
          </w:tcPr>
          <w:p w14:paraId="3483E7D3" w14:textId="2C4A8F86"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Deficiencias de la labor de seguimiento y supervisión a cargo de la ANIVBV frente a sus contratistas de obra y de los funcionarios de la FGN al no exigir a la ANIVBV la ejecución de las obras y </w:t>
            </w:r>
            <w:r w:rsidR="0000184D" w:rsidRPr="00853EB6">
              <w:rPr>
                <w:rFonts w:ascii="Arial" w:eastAsia="Times New Roman" w:hAnsi="Arial" w:cs="Arial"/>
                <w:sz w:val="16"/>
                <w:szCs w:val="16"/>
                <w:lang w:eastAsia="es-CO"/>
              </w:rPr>
              <w:t>remisión</w:t>
            </w:r>
            <w:r w:rsidRPr="00853EB6">
              <w:rPr>
                <w:rFonts w:ascii="Arial" w:eastAsia="Times New Roman" w:hAnsi="Arial" w:cs="Arial"/>
                <w:sz w:val="16"/>
                <w:szCs w:val="16"/>
                <w:lang w:eastAsia="es-CO"/>
              </w:rPr>
              <w:t xml:space="preserve"> de informes</w:t>
            </w:r>
          </w:p>
        </w:tc>
        <w:tc>
          <w:tcPr>
            <w:tcW w:w="1635" w:type="dxa"/>
            <w:shd w:val="clear" w:color="000000" w:fill="FFFFFF"/>
            <w:hideMark/>
          </w:tcPr>
          <w:p w14:paraId="070AEECA" w14:textId="4D85A51F"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Realizar una </w:t>
            </w:r>
            <w:r w:rsidR="0000184D" w:rsidRPr="00853EB6">
              <w:rPr>
                <w:rFonts w:ascii="Arial" w:eastAsia="Times New Roman" w:hAnsi="Arial" w:cs="Arial"/>
                <w:sz w:val="16"/>
                <w:szCs w:val="16"/>
                <w:lang w:eastAsia="es-CO"/>
              </w:rPr>
              <w:t>supervisión</w:t>
            </w:r>
            <w:r w:rsidRPr="00853EB6">
              <w:rPr>
                <w:rFonts w:ascii="Arial" w:eastAsia="Times New Roman" w:hAnsi="Arial" w:cs="Arial"/>
                <w:sz w:val="16"/>
                <w:szCs w:val="16"/>
                <w:lang w:eastAsia="es-CO"/>
              </w:rPr>
              <w:t xml:space="preserve"> de manera conjunta que permita evaluar el cumplimiento </w:t>
            </w:r>
            <w:r w:rsidR="0000184D" w:rsidRPr="00853EB6">
              <w:rPr>
                <w:rFonts w:ascii="Arial" w:eastAsia="Times New Roman" w:hAnsi="Arial" w:cs="Arial"/>
                <w:sz w:val="16"/>
                <w:szCs w:val="16"/>
                <w:lang w:eastAsia="es-CO"/>
              </w:rPr>
              <w:t>jurídico</w:t>
            </w:r>
            <w:r w:rsidRPr="00853EB6">
              <w:rPr>
                <w:rFonts w:ascii="Arial" w:eastAsia="Times New Roman" w:hAnsi="Arial" w:cs="Arial"/>
                <w:sz w:val="16"/>
                <w:szCs w:val="16"/>
                <w:lang w:eastAsia="es-CO"/>
              </w:rPr>
              <w:t xml:space="preserve">, financiero y administrativo de cada uno de los convenios </w:t>
            </w:r>
            <w:r w:rsidR="0000184D" w:rsidRPr="00853EB6">
              <w:rPr>
                <w:rFonts w:ascii="Arial" w:eastAsia="Times New Roman" w:hAnsi="Arial" w:cs="Arial"/>
                <w:sz w:val="16"/>
                <w:szCs w:val="16"/>
                <w:lang w:eastAsia="es-CO"/>
              </w:rPr>
              <w:t>específicos</w:t>
            </w:r>
          </w:p>
        </w:tc>
        <w:tc>
          <w:tcPr>
            <w:tcW w:w="1910" w:type="dxa"/>
            <w:shd w:val="clear" w:color="000000" w:fill="FFFFFF"/>
            <w:hideMark/>
          </w:tcPr>
          <w:p w14:paraId="06E49416" w14:textId="5C5D5EED" w:rsidR="00853EB6" w:rsidRPr="00853EB6" w:rsidRDefault="00853EB6" w:rsidP="00853EB6">
            <w:pPr>
              <w:spacing w:after="240"/>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1. Realizar mesa de trabajo interdisciplinarias (DCAS, Financiera, Contractual) con el fin de analizar, definir directrices y lineamientos para esta modalidad </w:t>
            </w:r>
            <w:r w:rsidR="0000184D" w:rsidRPr="00853EB6">
              <w:rPr>
                <w:rFonts w:ascii="Arial" w:eastAsia="Times New Roman" w:hAnsi="Arial" w:cs="Arial"/>
                <w:sz w:val="16"/>
                <w:szCs w:val="16"/>
                <w:lang w:eastAsia="es-CO"/>
              </w:rPr>
              <w:t>de contratación</w:t>
            </w:r>
          </w:p>
        </w:tc>
        <w:tc>
          <w:tcPr>
            <w:tcW w:w="1403" w:type="dxa"/>
            <w:shd w:val="clear" w:color="000000" w:fill="FFFFFF"/>
            <w:hideMark/>
          </w:tcPr>
          <w:p w14:paraId="0A11D3E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Actas </w:t>
            </w:r>
          </w:p>
        </w:tc>
        <w:tc>
          <w:tcPr>
            <w:tcW w:w="692" w:type="dxa"/>
            <w:shd w:val="clear" w:color="000000" w:fill="FFFFFF"/>
            <w:hideMark/>
          </w:tcPr>
          <w:p w14:paraId="68FA27F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w:t>
            </w:r>
          </w:p>
        </w:tc>
        <w:tc>
          <w:tcPr>
            <w:tcW w:w="941" w:type="dxa"/>
            <w:shd w:val="clear" w:color="000000" w:fill="FFFFFF"/>
            <w:hideMark/>
          </w:tcPr>
          <w:p w14:paraId="5FDB342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30-jun-20</w:t>
            </w:r>
          </w:p>
        </w:tc>
        <w:tc>
          <w:tcPr>
            <w:tcW w:w="1047" w:type="dxa"/>
            <w:shd w:val="clear" w:color="000000" w:fill="FFFFFF"/>
            <w:hideMark/>
          </w:tcPr>
          <w:p w14:paraId="776C695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28-feb-21</w:t>
            </w:r>
          </w:p>
        </w:tc>
        <w:tc>
          <w:tcPr>
            <w:tcW w:w="879" w:type="dxa"/>
            <w:shd w:val="clear" w:color="000000" w:fill="FFFFFF"/>
            <w:hideMark/>
          </w:tcPr>
          <w:p w14:paraId="7E6547C1"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2</w:t>
            </w:r>
          </w:p>
        </w:tc>
        <w:tc>
          <w:tcPr>
            <w:tcW w:w="959" w:type="dxa"/>
            <w:shd w:val="clear" w:color="000000" w:fill="FFFFFF"/>
            <w:hideMark/>
          </w:tcPr>
          <w:p w14:paraId="0E7EC08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209A99E" w14:textId="42B7D82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30-06-2021 se evidenció el Acta del 2/12/2020 y Acta del 01/03/2021 en las cuáles se infiere que la responsabilidad principal está en cabeza del Supervisor, y que la mayor dificultad es que para el manejo de los recursos de los convenios </w:t>
            </w:r>
            <w:r w:rsidR="0000184D" w:rsidRPr="00853EB6">
              <w:rPr>
                <w:rFonts w:ascii="Arial" w:eastAsia="Times New Roman" w:hAnsi="Arial" w:cs="Arial"/>
                <w:sz w:val="16"/>
                <w:szCs w:val="16"/>
                <w:lang w:eastAsia="es-CO"/>
              </w:rPr>
              <w:t>marco</w:t>
            </w:r>
            <w:r w:rsidRPr="00853EB6">
              <w:rPr>
                <w:rFonts w:ascii="Arial" w:eastAsia="Times New Roman" w:hAnsi="Arial" w:cs="Arial"/>
                <w:sz w:val="16"/>
                <w:szCs w:val="16"/>
                <w:lang w:eastAsia="es-CO"/>
              </w:rPr>
              <w:t xml:space="preserve"> suscritos con la ANIVBV ellos son autónomos.</w:t>
            </w:r>
          </w:p>
        </w:tc>
      </w:tr>
      <w:tr w:rsidR="00853EB6" w:rsidRPr="00853EB6" w14:paraId="42789E62" w14:textId="77777777" w:rsidTr="00853EB6">
        <w:trPr>
          <w:trHeight w:val="2805"/>
        </w:trPr>
        <w:tc>
          <w:tcPr>
            <w:tcW w:w="2684" w:type="dxa"/>
            <w:shd w:val="clear" w:color="000000" w:fill="FFFFFF"/>
            <w:vAlign w:val="center"/>
            <w:hideMark/>
          </w:tcPr>
          <w:p w14:paraId="4B53295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Nro. 75 Supervisión Construcción Obras Bolívar</w:t>
            </w:r>
            <w:r w:rsidRPr="00853EB6">
              <w:rPr>
                <w:rFonts w:ascii="Arial" w:eastAsia="Times New Roman" w:hAnsi="Arial" w:cs="Arial"/>
                <w:sz w:val="16"/>
                <w:szCs w:val="16"/>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1412" w:type="dxa"/>
            <w:shd w:val="clear" w:color="000000" w:fill="FFFFFF"/>
            <w:hideMark/>
          </w:tcPr>
          <w:p w14:paraId="5065F94C" w14:textId="1971EB75"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Deficiencias de la labor de seguimiento y supervisión a cargo de la ANIVBV frente a sus contratistas de obra y de los funcionarios de la FGN al no exigir a la ANIVBV la ejecución de las obras y </w:t>
            </w:r>
            <w:r w:rsidR="0000184D" w:rsidRPr="00853EB6">
              <w:rPr>
                <w:rFonts w:ascii="Arial" w:eastAsia="Times New Roman" w:hAnsi="Arial" w:cs="Arial"/>
                <w:sz w:val="16"/>
                <w:szCs w:val="16"/>
                <w:lang w:eastAsia="es-CO"/>
              </w:rPr>
              <w:t>remisión</w:t>
            </w:r>
            <w:r w:rsidRPr="00853EB6">
              <w:rPr>
                <w:rFonts w:ascii="Arial" w:eastAsia="Times New Roman" w:hAnsi="Arial" w:cs="Arial"/>
                <w:sz w:val="16"/>
                <w:szCs w:val="16"/>
                <w:lang w:eastAsia="es-CO"/>
              </w:rPr>
              <w:t xml:space="preserve"> de informes</w:t>
            </w:r>
          </w:p>
        </w:tc>
        <w:tc>
          <w:tcPr>
            <w:tcW w:w="1635" w:type="dxa"/>
            <w:shd w:val="clear" w:color="000000" w:fill="FFFFFF"/>
            <w:hideMark/>
          </w:tcPr>
          <w:p w14:paraId="3D1EC91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Hacer seguimiento a la respuesta del oficio No.20206140002671 del 28 de mayo 2020, dirigido a la Agencia Nacional Inmobiliaria Virgilio Barco Vargas, relacionado con el convenio interadministrativo Marco de Cooperación No.0457-FGN, 95-Agencia, con los componentes técnico, administrativo y financiero. </w:t>
            </w:r>
          </w:p>
        </w:tc>
        <w:tc>
          <w:tcPr>
            <w:tcW w:w="1910" w:type="dxa"/>
            <w:shd w:val="clear" w:color="000000" w:fill="FFFFFF"/>
            <w:hideMark/>
          </w:tcPr>
          <w:p w14:paraId="0FFA363A" w14:textId="06361B51"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3. </w:t>
            </w:r>
            <w:r w:rsidR="0000184D" w:rsidRPr="00853EB6">
              <w:rPr>
                <w:rFonts w:ascii="Arial" w:eastAsia="Times New Roman" w:hAnsi="Arial" w:cs="Arial"/>
                <w:sz w:val="16"/>
                <w:szCs w:val="16"/>
                <w:lang w:eastAsia="es-CO"/>
              </w:rPr>
              <w:t>Reportar</w:t>
            </w:r>
            <w:r w:rsidRPr="00853EB6">
              <w:rPr>
                <w:rFonts w:ascii="Arial" w:eastAsia="Times New Roman" w:hAnsi="Arial" w:cs="Arial"/>
                <w:sz w:val="16"/>
                <w:szCs w:val="16"/>
                <w:lang w:eastAsia="es-CO"/>
              </w:rPr>
              <w:t xml:space="preserve"> los resultados de los informes </w:t>
            </w:r>
            <w:r w:rsidR="0000184D" w:rsidRPr="00853EB6">
              <w:rPr>
                <w:rFonts w:ascii="Arial" w:eastAsia="Times New Roman" w:hAnsi="Arial" w:cs="Arial"/>
                <w:sz w:val="16"/>
                <w:szCs w:val="16"/>
                <w:lang w:eastAsia="es-CO"/>
              </w:rPr>
              <w:t>diagnósticos</w:t>
            </w:r>
            <w:r w:rsidRPr="00853EB6">
              <w:rPr>
                <w:rFonts w:ascii="Arial" w:eastAsia="Times New Roman" w:hAnsi="Arial" w:cs="Arial"/>
                <w:sz w:val="16"/>
                <w:szCs w:val="16"/>
                <w:lang w:eastAsia="es-CO"/>
              </w:rPr>
              <w:t xml:space="preserve"> de la actividad </w:t>
            </w:r>
            <w:r w:rsidR="0000184D" w:rsidRPr="00853EB6">
              <w:rPr>
                <w:rFonts w:ascii="Arial" w:eastAsia="Times New Roman" w:hAnsi="Arial" w:cs="Arial"/>
                <w:sz w:val="16"/>
                <w:szCs w:val="16"/>
                <w:lang w:eastAsia="es-CO"/>
              </w:rPr>
              <w:t>anterior</w:t>
            </w:r>
            <w:r w:rsidRPr="00853EB6">
              <w:rPr>
                <w:rFonts w:ascii="Arial" w:eastAsia="Times New Roman" w:hAnsi="Arial" w:cs="Arial"/>
                <w:sz w:val="16"/>
                <w:szCs w:val="16"/>
                <w:lang w:eastAsia="es-CO"/>
              </w:rPr>
              <w:t xml:space="preserve"> a la Subdirección de Gestión Contractual</w:t>
            </w:r>
          </w:p>
        </w:tc>
        <w:tc>
          <w:tcPr>
            <w:tcW w:w="1403" w:type="dxa"/>
            <w:shd w:val="clear" w:color="000000" w:fill="FFFFFF"/>
            <w:hideMark/>
          </w:tcPr>
          <w:p w14:paraId="0CFF0F7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Reporte Gestión Contractual</w:t>
            </w:r>
          </w:p>
        </w:tc>
        <w:tc>
          <w:tcPr>
            <w:tcW w:w="692" w:type="dxa"/>
            <w:shd w:val="clear" w:color="000000" w:fill="FFFFFF"/>
            <w:hideMark/>
          </w:tcPr>
          <w:p w14:paraId="2FFFF04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w:t>
            </w:r>
          </w:p>
        </w:tc>
        <w:tc>
          <w:tcPr>
            <w:tcW w:w="941" w:type="dxa"/>
            <w:shd w:val="clear" w:color="000000" w:fill="FFFFFF"/>
            <w:hideMark/>
          </w:tcPr>
          <w:p w14:paraId="08B20DF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31-oct-20</w:t>
            </w:r>
          </w:p>
        </w:tc>
        <w:tc>
          <w:tcPr>
            <w:tcW w:w="1047" w:type="dxa"/>
            <w:shd w:val="clear" w:color="000000" w:fill="FFFFFF"/>
            <w:hideMark/>
          </w:tcPr>
          <w:p w14:paraId="31CF8B3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30-abr-21</w:t>
            </w:r>
          </w:p>
        </w:tc>
        <w:tc>
          <w:tcPr>
            <w:tcW w:w="879" w:type="dxa"/>
            <w:shd w:val="clear" w:color="000000" w:fill="FFFFFF"/>
            <w:hideMark/>
          </w:tcPr>
          <w:p w14:paraId="172D1486"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3</w:t>
            </w:r>
          </w:p>
        </w:tc>
        <w:tc>
          <w:tcPr>
            <w:tcW w:w="959" w:type="dxa"/>
            <w:shd w:val="clear" w:color="000000" w:fill="FFFFFF"/>
            <w:hideMark/>
          </w:tcPr>
          <w:p w14:paraId="3779227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22CA35A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30/6/2021 se evidenciaron informes de validación de extractos con corte a 31 de marzo de 2021 de Cúcuta, Paloquemao y Bolivar.</w:t>
            </w:r>
          </w:p>
        </w:tc>
      </w:tr>
      <w:tr w:rsidR="00853EB6" w:rsidRPr="00853EB6" w14:paraId="675079D0" w14:textId="77777777" w:rsidTr="00853EB6">
        <w:trPr>
          <w:trHeight w:val="2200"/>
        </w:trPr>
        <w:tc>
          <w:tcPr>
            <w:tcW w:w="2684" w:type="dxa"/>
            <w:shd w:val="clear" w:color="000000" w:fill="FFFFFF"/>
            <w:vAlign w:val="center"/>
            <w:hideMark/>
          </w:tcPr>
          <w:p w14:paraId="6F32304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Nro. 75 Supervisión Construcción Obras Bolívar</w:t>
            </w:r>
            <w:r w:rsidRPr="00853EB6">
              <w:rPr>
                <w:rFonts w:ascii="Arial" w:eastAsia="Times New Roman" w:hAnsi="Arial" w:cs="Arial"/>
                <w:sz w:val="16"/>
                <w:szCs w:val="16"/>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1412" w:type="dxa"/>
            <w:shd w:val="clear" w:color="000000" w:fill="FFFFFF"/>
            <w:hideMark/>
          </w:tcPr>
          <w:p w14:paraId="7373B81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35943F96" w14:textId="6BF8043E"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Dirección de Altos Estudios una capacitación en contratación pública</w:t>
            </w:r>
          </w:p>
        </w:tc>
        <w:tc>
          <w:tcPr>
            <w:tcW w:w="1910" w:type="dxa"/>
            <w:shd w:val="clear" w:color="000000" w:fill="FFFFFF"/>
            <w:hideMark/>
          </w:tcPr>
          <w:p w14:paraId="3B385F1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Sesiones virtuales   a los intervinientes en la gestión contractual</w:t>
            </w:r>
          </w:p>
        </w:tc>
        <w:tc>
          <w:tcPr>
            <w:tcW w:w="1403" w:type="dxa"/>
            <w:shd w:val="clear" w:color="000000" w:fill="FFFFFF"/>
            <w:hideMark/>
          </w:tcPr>
          <w:p w14:paraId="7CA440C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Grabación de la capacitación</w:t>
            </w:r>
          </w:p>
        </w:tc>
        <w:tc>
          <w:tcPr>
            <w:tcW w:w="692" w:type="dxa"/>
            <w:shd w:val="clear" w:color="000000" w:fill="FFFFFF"/>
            <w:hideMark/>
          </w:tcPr>
          <w:p w14:paraId="445518A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0FA0D30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1-jul-20</w:t>
            </w:r>
          </w:p>
        </w:tc>
        <w:tc>
          <w:tcPr>
            <w:tcW w:w="1047" w:type="dxa"/>
            <w:shd w:val="clear" w:color="000000" w:fill="FFFFFF"/>
            <w:hideMark/>
          </w:tcPr>
          <w:p w14:paraId="27CDA5F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3401F95B"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4AC7D5E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30AC9157" w14:textId="5BF1A01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5823784E" w14:textId="77777777" w:rsidTr="00853EB6">
        <w:trPr>
          <w:trHeight w:val="2805"/>
        </w:trPr>
        <w:tc>
          <w:tcPr>
            <w:tcW w:w="2684" w:type="dxa"/>
            <w:shd w:val="clear" w:color="000000" w:fill="FFFFFF"/>
            <w:vAlign w:val="center"/>
            <w:hideMark/>
          </w:tcPr>
          <w:p w14:paraId="4D88809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Nro. 75 Supervisión Construcción Obras Bolívar</w:t>
            </w:r>
            <w:r w:rsidRPr="00853EB6">
              <w:rPr>
                <w:rFonts w:ascii="Arial" w:eastAsia="Times New Roman" w:hAnsi="Arial" w:cs="Arial"/>
                <w:sz w:val="16"/>
                <w:szCs w:val="16"/>
                <w:lang w:eastAsia="es-CO"/>
              </w:rPr>
              <w:t xml:space="preserve"> Acuerdo EC 0525 de 23-12-2016 presenta demoras en la ejecución y entrega de 10 meses; van 40 y aun no se recibe, afectando la puesta en funcionamiento gastos por arrendamiento, deficiencias en seguimiento y supervisión a cargo de ANIVBV frente a contratistas y de la FGN al no exigir la ejecución de obras y remisión de informes a la ANIVBV</w:t>
            </w:r>
          </w:p>
        </w:tc>
        <w:tc>
          <w:tcPr>
            <w:tcW w:w="1412" w:type="dxa"/>
            <w:shd w:val="clear" w:color="000000" w:fill="FFFFFF"/>
            <w:hideMark/>
          </w:tcPr>
          <w:p w14:paraId="08BA085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68CD14B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Aplicación de una encuesta relacionada con temas de la capacitación  </w:t>
            </w:r>
          </w:p>
        </w:tc>
        <w:tc>
          <w:tcPr>
            <w:tcW w:w="1910" w:type="dxa"/>
            <w:shd w:val="clear" w:color="000000" w:fill="FFFFFF"/>
            <w:hideMark/>
          </w:tcPr>
          <w:p w14:paraId="29A0B52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Remitir vía correo electrónico la encuesta a los servidores del proceso a nivel Nacional </w:t>
            </w:r>
          </w:p>
        </w:tc>
        <w:tc>
          <w:tcPr>
            <w:tcW w:w="1403" w:type="dxa"/>
            <w:shd w:val="clear" w:color="000000" w:fill="FFFFFF"/>
            <w:hideMark/>
          </w:tcPr>
          <w:p w14:paraId="155354C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PDF de las encuestas diligenciadas y correo remisorio</w:t>
            </w:r>
          </w:p>
        </w:tc>
        <w:tc>
          <w:tcPr>
            <w:tcW w:w="692" w:type="dxa"/>
            <w:shd w:val="clear" w:color="000000" w:fill="FFFFFF"/>
            <w:hideMark/>
          </w:tcPr>
          <w:p w14:paraId="38E7BFB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2DB39C0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1-sep-20</w:t>
            </w:r>
          </w:p>
        </w:tc>
        <w:tc>
          <w:tcPr>
            <w:tcW w:w="1047" w:type="dxa"/>
            <w:shd w:val="clear" w:color="000000" w:fill="FFFFFF"/>
            <w:hideMark/>
          </w:tcPr>
          <w:p w14:paraId="5E74FD9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70135AF6"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319574D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BBE8C90" w14:textId="3FD93BB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1F1ED1B4" w14:textId="77777777" w:rsidTr="00853EB6">
        <w:trPr>
          <w:trHeight w:val="2178"/>
        </w:trPr>
        <w:tc>
          <w:tcPr>
            <w:tcW w:w="2684" w:type="dxa"/>
            <w:shd w:val="clear" w:color="000000" w:fill="FFFFFF"/>
            <w:vAlign w:val="center"/>
            <w:hideMark/>
          </w:tcPr>
          <w:p w14:paraId="70D88D2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 xml:space="preserve">Nro. 77   Fase de transición Contrato CN103 de 2019 </w:t>
            </w:r>
            <w:r w:rsidRPr="00853EB6">
              <w:rPr>
                <w:rFonts w:ascii="Arial" w:eastAsia="Times New Roman" w:hAnsi="Arial" w:cs="Arial"/>
                <w:sz w:val="16"/>
                <w:szCs w:val="16"/>
                <w:lang w:eastAsia="es-CO"/>
              </w:rPr>
              <w:t>se pactó periodo de transición al encontrarse en ejecución el Contrato 475-2015 y poder garantizar la continuidad en el caso de producirse un cambio de contratista, evento que no ocurrió. Los pagos de la mitad del periodo de transición se realizaron conforme a la tarifa del anterior, cuando se trató del mismo contratista.</w:t>
            </w:r>
          </w:p>
        </w:tc>
        <w:tc>
          <w:tcPr>
            <w:tcW w:w="1412" w:type="dxa"/>
            <w:shd w:val="clear" w:color="000000" w:fill="FFFFFF"/>
            <w:hideMark/>
          </w:tcPr>
          <w:p w14:paraId="3EAC150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001C981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Dirección de Altos Estudios una capacitación en contratación pública</w:t>
            </w:r>
          </w:p>
        </w:tc>
        <w:tc>
          <w:tcPr>
            <w:tcW w:w="1910" w:type="dxa"/>
            <w:shd w:val="clear" w:color="000000" w:fill="FFFFFF"/>
            <w:hideMark/>
          </w:tcPr>
          <w:p w14:paraId="0DF4EF5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Sesiones virtuales   a los intervinientes en la gestión contractual</w:t>
            </w:r>
          </w:p>
        </w:tc>
        <w:tc>
          <w:tcPr>
            <w:tcW w:w="1403" w:type="dxa"/>
            <w:shd w:val="clear" w:color="000000" w:fill="FFFFFF"/>
            <w:hideMark/>
          </w:tcPr>
          <w:p w14:paraId="088EAAC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Grabación de la capacitación</w:t>
            </w:r>
          </w:p>
        </w:tc>
        <w:tc>
          <w:tcPr>
            <w:tcW w:w="692" w:type="dxa"/>
            <w:shd w:val="clear" w:color="000000" w:fill="FFFFFF"/>
            <w:hideMark/>
          </w:tcPr>
          <w:p w14:paraId="6439994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10B96F7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1-jul-20</w:t>
            </w:r>
          </w:p>
        </w:tc>
        <w:tc>
          <w:tcPr>
            <w:tcW w:w="1047" w:type="dxa"/>
            <w:shd w:val="clear" w:color="000000" w:fill="FFFFFF"/>
            <w:hideMark/>
          </w:tcPr>
          <w:p w14:paraId="34F4FC3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6CA1CF23"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1694614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480C68D7" w14:textId="007554D2"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1382843B" w14:textId="77777777" w:rsidTr="00853EB6">
        <w:trPr>
          <w:trHeight w:val="2326"/>
        </w:trPr>
        <w:tc>
          <w:tcPr>
            <w:tcW w:w="2684" w:type="dxa"/>
            <w:shd w:val="clear" w:color="000000" w:fill="FFFFFF"/>
            <w:vAlign w:val="center"/>
            <w:hideMark/>
          </w:tcPr>
          <w:p w14:paraId="1BB8171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 xml:space="preserve">Nro. 77   Fase de transición Contrato CN103 de 2019 </w:t>
            </w:r>
            <w:r w:rsidRPr="00853EB6">
              <w:rPr>
                <w:rFonts w:ascii="Arial" w:eastAsia="Times New Roman" w:hAnsi="Arial" w:cs="Arial"/>
                <w:sz w:val="16"/>
                <w:szCs w:val="16"/>
                <w:lang w:eastAsia="es-CO"/>
              </w:rPr>
              <w:t>se pactó periodo de transición al encontrarse en ejecución el Contrato 475-2015 y poder garantizar la continuidad en el caso de producirse un cambio de contratista, evento que no ocurrió. Los pagos de la mitad del periodo de transición se realizaron conforme a la tarifa del anterior, cuando se trató del mismo contratista.</w:t>
            </w:r>
          </w:p>
        </w:tc>
        <w:tc>
          <w:tcPr>
            <w:tcW w:w="1412" w:type="dxa"/>
            <w:shd w:val="clear" w:color="000000" w:fill="FFFFFF"/>
            <w:hideMark/>
          </w:tcPr>
          <w:p w14:paraId="005AF0A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684D19F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Aplicación de una encuesta relacionada con temas de la capacitación  </w:t>
            </w:r>
          </w:p>
        </w:tc>
        <w:tc>
          <w:tcPr>
            <w:tcW w:w="1910" w:type="dxa"/>
            <w:shd w:val="clear" w:color="000000" w:fill="FFFFFF"/>
            <w:hideMark/>
          </w:tcPr>
          <w:p w14:paraId="74BC494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Remitir vía correo electrónico la encuesta a los servidores del proceso a nivel Nacional </w:t>
            </w:r>
          </w:p>
        </w:tc>
        <w:tc>
          <w:tcPr>
            <w:tcW w:w="1403" w:type="dxa"/>
            <w:shd w:val="clear" w:color="000000" w:fill="FFFFFF"/>
            <w:hideMark/>
          </w:tcPr>
          <w:p w14:paraId="765501A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PDF de las encuestas diligenciadas y correo remisorio</w:t>
            </w:r>
          </w:p>
        </w:tc>
        <w:tc>
          <w:tcPr>
            <w:tcW w:w="692" w:type="dxa"/>
            <w:shd w:val="clear" w:color="000000" w:fill="FFFFFF"/>
            <w:hideMark/>
          </w:tcPr>
          <w:p w14:paraId="362E9A6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34E51BD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1-sep-20</w:t>
            </w:r>
          </w:p>
        </w:tc>
        <w:tc>
          <w:tcPr>
            <w:tcW w:w="1047" w:type="dxa"/>
            <w:shd w:val="clear" w:color="000000" w:fill="FFFFFF"/>
            <w:hideMark/>
          </w:tcPr>
          <w:p w14:paraId="546994B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40DC2A14"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5947121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CC45875" w14:textId="2CB86689"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17C346B8" w14:textId="77777777" w:rsidTr="00853EB6">
        <w:trPr>
          <w:trHeight w:val="2805"/>
        </w:trPr>
        <w:tc>
          <w:tcPr>
            <w:tcW w:w="2684" w:type="dxa"/>
            <w:shd w:val="clear" w:color="000000" w:fill="FFFFFF"/>
            <w:vAlign w:val="center"/>
            <w:hideMark/>
          </w:tcPr>
          <w:p w14:paraId="3505B47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Nro. 78 Contrato 03 SRAEC de 2019 (D).</w:t>
            </w:r>
            <w:r w:rsidRPr="00853EB6">
              <w:rPr>
                <w:rFonts w:ascii="Arial" w:eastAsia="Times New Roman" w:hAnsi="Arial" w:cs="Arial"/>
                <w:sz w:val="16"/>
                <w:szCs w:val="16"/>
                <w:lang w:eastAsia="es-CO"/>
              </w:rPr>
              <w:t xml:space="preserve"> Incumplimiento de las normas por la SRA Eje Cafetero contrato 03SRAEC-2019, no se realizó visita previa al sitio de ejecución por el diseñador del proyecto que hubiesen detectado actividades que no tenían por qué adicionarse, incumplimiento al proyecto los 2 otro si, plazo que debió ser prorrogado en un 75% adicional.</w:t>
            </w:r>
          </w:p>
        </w:tc>
        <w:tc>
          <w:tcPr>
            <w:tcW w:w="1412" w:type="dxa"/>
            <w:shd w:val="clear" w:color="000000" w:fill="FFFFFF"/>
            <w:hideMark/>
          </w:tcPr>
          <w:p w14:paraId="36E8603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Debilidades en la identificación de la necesidad </w:t>
            </w:r>
          </w:p>
        </w:tc>
        <w:tc>
          <w:tcPr>
            <w:tcW w:w="1635" w:type="dxa"/>
            <w:shd w:val="clear" w:color="000000" w:fill="FFFFFF"/>
            <w:hideMark/>
          </w:tcPr>
          <w:p w14:paraId="5FC976FE" w14:textId="6B8439B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Coordinar </w:t>
            </w:r>
            <w:r w:rsidR="0000184D" w:rsidRPr="00853EB6">
              <w:rPr>
                <w:rFonts w:ascii="Arial" w:eastAsia="Times New Roman" w:hAnsi="Arial" w:cs="Arial"/>
                <w:sz w:val="16"/>
                <w:szCs w:val="16"/>
                <w:lang w:eastAsia="es-CO"/>
              </w:rPr>
              <w:t>con la</w:t>
            </w:r>
            <w:r w:rsidRPr="00853EB6">
              <w:rPr>
                <w:rFonts w:ascii="Arial" w:eastAsia="Times New Roman" w:hAnsi="Arial" w:cs="Arial"/>
                <w:sz w:val="16"/>
                <w:szCs w:val="16"/>
                <w:lang w:eastAsia="es-CO"/>
              </w:rPr>
              <w:t xml:space="preserve"> Dirección de Altos Estudios una capacitación en contratación pública</w:t>
            </w:r>
          </w:p>
        </w:tc>
        <w:tc>
          <w:tcPr>
            <w:tcW w:w="1910" w:type="dxa"/>
            <w:shd w:val="clear" w:color="000000" w:fill="FFFFFF"/>
            <w:hideMark/>
          </w:tcPr>
          <w:p w14:paraId="08D0F89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Sesiones virtuales   a los intervinientes en la gestión contractual</w:t>
            </w:r>
          </w:p>
        </w:tc>
        <w:tc>
          <w:tcPr>
            <w:tcW w:w="1403" w:type="dxa"/>
            <w:shd w:val="clear" w:color="000000" w:fill="FFFFFF"/>
            <w:hideMark/>
          </w:tcPr>
          <w:p w14:paraId="53DDFAF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Grabación de la capacitación</w:t>
            </w:r>
          </w:p>
        </w:tc>
        <w:tc>
          <w:tcPr>
            <w:tcW w:w="692" w:type="dxa"/>
            <w:shd w:val="clear" w:color="000000" w:fill="FFFFFF"/>
            <w:hideMark/>
          </w:tcPr>
          <w:p w14:paraId="05F2D45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4FC7EC6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1-jul-20</w:t>
            </w:r>
          </w:p>
        </w:tc>
        <w:tc>
          <w:tcPr>
            <w:tcW w:w="1047" w:type="dxa"/>
            <w:shd w:val="clear" w:color="000000" w:fill="FFFFFF"/>
            <w:hideMark/>
          </w:tcPr>
          <w:p w14:paraId="43C6435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4C3F498F"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32F5D2A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3A76466" w14:textId="4532103C"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7D88524D" w14:textId="77777777" w:rsidTr="00853EB6">
        <w:trPr>
          <w:trHeight w:val="2461"/>
        </w:trPr>
        <w:tc>
          <w:tcPr>
            <w:tcW w:w="2684" w:type="dxa"/>
            <w:shd w:val="clear" w:color="000000" w:fill="FFFFFF"/>
            <w:vAlign w:val="center"/>
            <w:hideMark/>
          </w:tcPr>
          <w:p w14:paraId="73F303B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Nro. 78 Contrato 03 SRAEC de 2019 (D).</w:t>
            </w:r>
            <w:r w:rsidRPr="00853EB6">
              <w:rPr>
                <w:rFonts w:ascii="Arial" w:eastAsia="Times New Roman" w:hAnsi="Arial" w:cs="Arial"/>
                <w:sz w:val="16"/>
                <w:szCs w:val="16"/>
                <w:lang w:eastAsia="es-CO"/>
              </w:rPr>
              <w:t xml:space="preserve"> Incumplimiento de las normas por la SRA Eje Cafetero contrato 03SRAEC-2019, no se realizó visita previa al sitio de ejecución por el diseñador del proyecto que hubiesen detectado actividades que no tenían por qué adicionarse, incumplimiento al proyecto los 2 otro si, plazo que debió ser prorrogado en un 75% adicional.</w:t>
            </w:r>
          </w:p>
        </w:tc>
        <w:tc>
          <w:tcPr>
            <w:tcW w:w="1412" w:type="dxa"/>
            <w:shd w:val="clear" w:color="000000" w:fill="FFFFFF"/>
            <w:hideMark/>
          </w:tcPr>
          <w:p w14:paraId="4CE1906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6C6EF97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Aplicación de una encuesta relacionada con temas de la capacitación  </w:t>
            </w:r>
          </w:p>
        </w:tc>
        <w:tc>
          <w:tcPr>
            <w:tcW w:w="1910" w:type="dxa"/>
            <w:shd w:val="clear" w:color="000000" w:fill="FFFFFF"/>
            <w:hideMark/>
          </w:tcPr>
          <w:p w14:paraId="0A6B37D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Remitir vía correo electrónico la encuesta a los servidores del proceso a nivel Nacional </w:t>
            </w:r>
          </w:p>
        </w:tc>
        <w:tc>
          <w:tcPr>
            <w:tcW w:w="1403" w:type="dxa"/>
            <w:shd w:val="clear" w:color="000000" w:fill="FFFFFF"/>
            <w:hideMark/>
          </w:tcPr>
          <w:p w14:paraId="4E4970A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PDF de las encuestas diligenciadas y correo remisorio</w:t>
            </w:r>
          </w:p>
        </w:tc>
        <w:tc>
          <w:tcPr>
            <w:tcW w:w="692" w:type="dxa"/>
            <w:shd w:val="clear" w:color="000000" w:fill="FFFFFF"/>
            <w:hideMark/>
          </w:tcPr>
          <w:p w14:paraId="72733F5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4A5288F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1-sep-20</w:t>
            </w:r>
          </w:p>
        </w:tc>
        <w:tc>
          <w:tcPr>
            <w:tcW w:w="1047" w:type="dxa"/>
            <w:shd w:val="clear" w:color="000000" w:fill="FFFFFF"/>
            <w:hideMark/>
          </w:tcPr>
          <w:p w14:paraId="5B5D056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74E8E419"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258379E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4FA4BA35" w14:textId="0BFD034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7CB7A848" w14:textId="77777777" w:rsidTr="00853EB6">
        <w:trPr>
          <w:trHeight w:val="2242"/>
        </w:trPr>
        <w:tc>
          <w:tcPr>
            <w:tcW w:w="2684" w:type="dxa"/>
            <w:shd w:val="clear" w:color="000000" w:fill="FFFFFF"/>
            <w:vAlign w:val="center"/>
            <w:hideMark/>
          </w:tcPr>
          <w:p w14:paraId="52726FB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N°79 Pago de concepto no contemplados en el contrato 016 (BA) $2.155.161</w:t>
            </w:r>
            <w:r w:rsidRPr="00853EB6">
              <w:rPr>
                <w:rFonts w:ascii="Arial" w:eastAsia="Times New Roman" w:hAnsi="Arial" w:cs="Arial"/>
                <w:sz w:val="16"/>
                <w:szCs w:val="16"/>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1412" w:type="dxa"/>
            <w:shd w:val="clear" w:color="000000" w:fill="FFFFFF"/>
            <w:hideMark/>
          </w:tcPr>
          <w:p w14:paraId="0B3385E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7A67F22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Dirección de Altos Estudios una capacitación en contratación pública</w:t>
            </w:r>
          </w:p>
        </w:tc>
        <w:tc>
          <w:tcPr>
            <w:tcW w:w="1910" w:type="dxa"/>
            <w:shd w:val="clear" w:color="000000" w:fill="FFFFFF"/>
            <w:hideMark/>
          </w:tcPr>
          <w:p w14:paraId="45A0E83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Sesiones virtuales   a los intervinientes en la gestión contractual</w:t>
            </w:r>
          </w:p>
        </w:tc>
        <w:tc>
          <w:tcPr>
            <w:tcW w:w="1403" w:type="dxa"/>
            <w:shd w:val="clear" w:color="000000" w:fill="FFFFFF"/>
            <w:hideMark/>
          </w:tcPr>
          <w:p w14:paraId="48F961D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Grabación de la capacitación</w:t>
            </w:r>
          </w:p>
        </w:tc>
        <w:tc>
          <w:tcPr>
            <w:tcW w:w="692" w:type="dxa"/>
            <w:shd w:val="clear" w:color="000000" w:fill="FFFFFF"/>
            <w:hideMark/>
          </w:tcPr>
          <w:p w14:paraId="222B74E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7831CA0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1-jul-20</w:t>
            </w:r>
          </w:p>
        </w:tc>
        <w:tc>
          <w:tcPr>
            <w:tcW w:w="1047" w:type="dxa"/>
            <w:shd w:val="clear" w:color="000000" w:fill="FFFFFF"/>
            <w:hideMark/>
          </w:tcPr>
          <w:p w14:paraId="291FE97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1A3DA85A"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4A70449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45785E0" w14:textId="641959FE"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52AAF2B0" w14:textId="77777777" w:rsidTr="00853EB6">
        <w:trPr>
          <w:trHeight w:val="2805"/>
        </w:trPr>
        <w:tc>
          <w:tcPr>
            <w:tcW w:w="2684" w:type="dxa"/>
            <w:shd w:val="clear" w:color="000000" w:fill="FFFFFF"/>
            <w:vAlign w:val="center"/>
            <w:hideMark/>
          </w:tcPr>
          <w:p w14:paraId="18D88AB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N°79 Pago de concepto no contemplados en el contrato 016 (BA) $2.155.161</w:t>
            </w:r>
            <w:r w:rsidRPr="00853EB6">
              <w:rPr>
                <w:rFonts w:ascii="Arial" w:eastAsia="Times New Roman" w:hAnsi="Arial" w:cs="Arial"/>
                <w:sz w:val="16"/>
                <w:szCs w:val="16"/>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1412" w:type="dxa"/>
            <w:shd w:val="clear" w:color="000000" w:fill="FFFFFF"/>
            <w:hideMark/>
          </w:tcPr>
          <w:p w14:paraId="464F507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5BB4708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Aplicación de una encuesta relacionada con temas de la capacitación  </w:t>
            </w:r>
          </w:p>
        </w:tc>
        <w:tc>
          <w:tcPr>
            <w:tcW w:w="1910" w:type="dxa"/>
            <w:shd w:val="clear" w:color="000000" w:fill="FFFFFF"/>
            <w:hideMark/>
          </w:tcPr>
          <w:p w14:paraId="2C01A4A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Remitir vía correo electrónico la encuesta a los servidores del proceso a nivel Nacional </w:t>
            </w:r>
          </w:p>
        </w:tc>
        <w:tc>
          <w:tcPr>
            <w:tcW w:w="1403" w:type="dxa"/>
            <w:shd w:val="clear" w:color="000000" w:fill="FFFFFF"/>
            <w:hideMark/>
          </w:tcPr>
          <w:p w14:paraId="5616D6F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PDF de las encuestas diligenciadas y correo remisorio</w:t>
            </w:r>
          </w:p>
        </w:tc>
        <w:tc>
          <w:tcPr>
            <w:tcW w:w="692" w:type="dxa"/>
            <w:shd w:val="clear" w:color="000000" w:fill="FFFFFF"/>
            <w:hideMark/>
          </w:tcPr>
          <w:p w14:paraId="454186F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7DE3854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1-sep-20</w:t>
            </w:r>
          </w:p>
        </w:tc>
        <w:tc>
          <w:tcPr>
            <w:tcW w:w="1047" w:type="dxa"/>
            <w:shd w:val="clear" w:color="000000" w:fill="FFFFFF"/>
            <w:hideMark/>
          </w:tcPr>
          <w:p w14:paraId="1C7CBC9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5CFA7429"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0F4727D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09A8346" w14:textId="42AB58E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capacitación de "Gestión Contractual" con la Universidad del Rosario a un total de 100 personas en dos sesiones de 50 cada una, del 1 al 31 de julio y del 1 al 30 de agosto de 2021, intensidad horaria de 40 horas </w:t>
            </w:r>
            <w:r w:rsidR="0000184D" w:rsidRPr="00853EB6">
              <w:rPr>
                <w:rFonts w:ascii="Arial" w:eastAsia="Times New Roman" w:hAnsi="Arial" w:cs="Arial"/>
                <w:sz w:val="16"/>
                <w:szCs w:val="16"/>
                <w:lang w:eastAsia="es-CO"/>
              </w:rPr>
              <w:t>académicas</w:t>
            </w:r>
            <w:r w:rsidRPr="00853EB6">
              <w:rPr>
                <w:rFonts w:ascii="Arial" w:eastAsia="Times New Roman" w:hAnsi="Arial" w:cs="Arial"/>
                <w:sz w:val="16"/>
                <w:szCs w:val="16"/>
                <w:lang w:eastAsia="es-CO"/>
              </w:rPr>
              <w:t xml:space="preserve">. La Universidad entregó un informe de las encuestas realizadas. </w:t>
            </w:r>
          </w:p>
        </w:tc>
      </w:tr>
      <w:tr w:rsidR="00853EB6" w:rsidRPr="00853EB6" w14:paraId="6C5A5A9E" w14:textId="77777777" w:rsidTr="00853EB6">
        <w:trPr>
          <w:trHeight w:val="2461"/>
        </w:trPr>
        <w:tc>
          <w:tcPr>
            <w:tcW w:w="2684" w:type="dxa"/>
            <w:shd w:val="clear" w:color="000000" w:fill="FFFFFF"/>
            <w:vAlign w:val="center"/>
            <w:hideMark/>
          </w:tcPr>
          <w:p w14:paraId="5F1F46E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N°79 Pago de concepto no contemplados en el contrato 016 (BA) $2.155.161</w:t>
            </w:r>
            <w:r w:rsidRPr="00853EB6">
              <w:rPr>
                <w:rFonts w:ascii="Arial" w:eastAsia="Times New Roman" w:hAnsi="Arial" w:cs="Arial"/>
                <w:sz w:val="16"/>
                <w:szCs w:val="16"/>
                <w:lang w:eastAsia="es-CO"/>
              </w:rPr>
              <w:t>. La Subdirección de Apoyo a la Gestión Eje Cafetero -SREC Contrato Electrónico 16 SRAEC-2018, se evidencia incumplimiento de las normas, ya que la Subdirección Regional del Eje Cafetero, reconoció y pagó a 31 de diciembre de 2019, por diagnósticos en mantenimiento correctivo y servicios que estaban exentos de costo</w:t>
            </w:r>
          </w:p>
        </w:tc>
        <w:tc>
          <w:tcPr>
            <w:tcW w:w="1412" w:type="dxa"/>
            <w:shd w:val="clear" w:color="000000" w:fill="FFFFFF"/>
            <w:hideMark/>
          </w:tcPr>
          <w:p w14:paraId="4DF051C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Se presenta por deficiencias de seguimiento y supervisión a la</w:t>
            </w:r>
            <w:r w:rsidRPr="00853EB6">
              <w:rPr>
                <w:rFonts w:ascii="Arial" w:eastAsia="Times New Roman" w:hAnsi="Arial" w:cs="Arial"/>
                <w:sz w:val="16"/>
                <w:szCs w:val="16"/>
                <w:lang w:eastAsia="es-CO"/>
              </w:rPr>
              <w:br/>
              <w:t>ejecución contractual, que no permitieron advertir la exención de estos costos.</w:t>
            </w:r>
          </w:p>
        </w:tc>
        <w:tc>
          <w:tcPr>
            <w:tcW w:w="1635" w:type="dxa"/>
            <w:shd w:val="clear" w:color="000000" w:fill="FFFFFF"/>
            <w:hideMark/>
          </w:tcPr>
          <w:p w14:paraId="022EA289" w14:textId="73599A53"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Verificar   los servicios relacionados al momento de la entrega de los informes de supervisión, para evitar el pago de servicios exentos, revisando los </w:t>
            </w:r>
            <w:r w:rsidR="0000184D" w:rsidRPr="00853EB6">
              <w:rPr>
                <w:rFonts w:ascii="Arial" w:eastAsia="Times New Roman" w:hAnsi="Arial" w:cs="Arial"/>
                <w:sz w:val="16"/>
                <w:szCs w:val="16"/>
                <w:lang w:eastAsia="es-CO"/>
              </w:rPr>
              <w:t>diagnósticos</w:t>
            </w:r>
            <w:r w:rsidRPr="00853EB6">
              <w:rPr>
                <w:rFonts w:ascii="Arial" w:eastAsia="Times New Roman" w:hAnsi="Arial" w:cs="Arial"/>
                <w:sz w:val="16"/>
                <w:szCs w:val="16"/>
                <w:lang w:eastAsia="es-CO"/>
              </w:rPr>
              <w:t xml:space="preserve"> en los mantenimientos correctivos.</w:t>
            </w:r>
          </w:p>
        </w:tc>
        <w:tc>
          <w:tcPr>
            <w:tcW w:w="1910" w:type="dxa"/>
            <w:shd w:val="clear" w:color="000000" w:fill="FFFFFF"/>
            <w:hideMark/>
          </w:tcPr>
          <w:p w14:paraId="65DD122C" w14:textId="08474F01"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Confrontar los servicios o mantenimientos versus la </w:t>
            </w:r>
            <w:r w:rsidR="0000184D" w:rsidRPr="00853EB6">
              <w:rPr>
                <w:rFonts w:ascii="Arial" w:eastAsia="Times New Roman" w:hAnsi="Arial" w:cs="Arial"/>
                <w:sz w:val="16"/>
                <w:szCs w:val="16"/>
                <w:lang w:eastAsia="es-CO"/>
              </w:rPr>
              <w:t>cotización</w:t>
            </w:r>
            <w:r w:rsidRPr="00853EB6">
              <w:rPr>
                <w:rFonts w:ascii="Arial" w:eastAsia="Times New Roman" w:hAnsi="Arial" w:cs="Arial"/>
                <w:sz w:val="16"/>
                <w:szCs w:val="16"/>
                <w:lang w:eastAsia="es-CO"/>
              </w:rPr>
              <w:t xml:space="preserve"> entregada  por el taller-contratista contra lo facturado</w:t>
            </w:r>
          </w:p>
        </w:tc>
        <w:tc>
          <w:tcPr>
            <w:tcW w:w="1403" w:type="dxa"/>
            <w:shd w:val="clear" w:color="000000" w:fill="FFFFFF"/>
            <w:hideMark/>
          </w:tcPr>
          <w:p w14:paraId="6D0F17B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Informe mensual </w:t>
            </w:r>
          </w:p>
        </w:tc>
        <w:tc>
          <w:tcPr>
            <w:tcW w:w="692" w:type="dxa"/>
            <w:shd w:val="clear" w:color="000000" w:fill="FFFFFF"/>
            <w:hideMark/>
          </w:tcPr>
          <w:p w14:paraId="770CEF3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4641EC0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1/07/2020</w:t>
            </w:r>
          </w:p>
        </w:tc>
        <w:tc>
          <w:tcPr>
            <w:tcW w:w="1047" w:type="dxa"/>
            <w:shd w:val="clear" w:color="000000" w:fill="FFFFFF"/>
            <w:hideMark/>
          </w:tcPr>
          <w:p w14:paraId="6A0849F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31/12/2020</w:t>
            </w:r>
          </w:p>
        </w:tc>
        <w:tc>
          <w:tcPr>
            <w:tcW w:w="879" w:type="dxa"/>
            <w:shd w:val="clear" w:color="000000" w:fill="FFFFFF"/>
            <w:hideMark/>
          </w:tcPr>
          <w:p w14:paraId="3B0C4ED6"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6239484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D80AC2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30-06-2021 se evidenciaron los 6 informes de 2020.</w:t>
            </w:r>
          </w:p>
        </w:tc>
      </w:tr>
      <w:tr w:rsidR="00853EB6" w:rsidRPr="00853EB6" w14:paraId="7BC5E4B9" w14:textId="77777777" w:rsidTr="00853EB6">
        <w:trPr>
          <w:trHeight w:val="1920"/>
        </w:trPr>
        <w:tc>
          <w:tcPr>
            <w:tcW w:w="2684" w:type="dxa"/>
            <w:shd w:val="clear" w:color="000000" w:fill="FFFFFF"/>
            <w:vAlign w:val="center"/>
            <w:hideMark/>
          </w:tcPr>
          <w:p w14:paraId="53815EE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No.23. CN No. 165 de 2019 Supervisión.</w:t>
            </w:r>
            <w:r w:rsidRPr="00853EB6">
              <w:rPr>
                <w:rFonts w:ascii="Arial" w:eastAsia="Times New Roman" w:hAnsi="Arial" w:cs="Arial"/>
                <w:sz w:val="16"/>
                <w:szCs w:val="16"/>
                <w:lang w:eastAsia="es-CO"/>
              </w:rPr>
              <w:t xml:space="preserve"> En revisión documental de la ejecución, no se evidenciaron soportes que acreditaran el cumplimiento de la disposición final de desechos, contemplado en el numeral 21 y 22 de la cláusula Sexta del contrato.</w:t>
            </w:r>
          </w:p>
        </w:tc>
        <w:tc>
          <w:tcPr>
            <w:tcW w:w="1412" w:type="dxa"/>
            <w:shd w:val="clear" w:color="000000" w:fill="FFFFFF"/>
            <w:hideMark/>
          </w:tcPr>
          <w:p w14:paraId="2521BC8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desarrollo de las actividades de supervisión, conforme a lo consagrado en los artículos 83 y 84 de la Ley 1474 de 2011, en cuanto al cumplimiento de dos (2) obligaciones pactadas contractualmente.</w:t>
            </w:r>
          </w:p>
        </w:tc>
        <w:tc>
          <w:tcPr>
            <w:tcW w:w="1635" w:type="dxa"/>
            <w:shd w:val="clear" w:color="000000" w:fill="FFFFFF"/>
            <w:hideMark/>
          </w:tcPr>
          <w:p w14:paraId="2B6940D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Implementar mecanismos de control y seguimiento que garanticen el cumplimiento de las funciones de los supervisores.</w:t>
            </w:r>
          </w:p>
        </w:tc>
        <w:tc>
          <w:tcPr>
            <w:tcW w:w="1910" w:type="dxa"/>
            <w:shd w:val="clear" w:color="000000" w:fill="FFFFFF"/>
            <w:hideMark/>
          </w:tcPr>
          <w:p w14:paraId="53AF40E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Efectuar seguimiento trimestral aleatorio a los procesos contractuales de la Subdirección de Bienes en dónde se verifique el cumplimiento de disposición final de residuos.</w:t>
            </w:r>
          </w:p>
        </w:tc>
        <w:tc>
          <w:tcPr>
            <w:tcW w:w="1403" w:type="dxa"/>
            <w:shd w:val="clear" w:color="000000" w:fill="FFFFFF"/>
            <w:hideMark/>
          </w:tcPr>
          <w:p w14:paraId="0558D8E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seguimiento</w:t>
            </w:r>
          </w:p>
        </w:tc>
        <w:tc>
          <w:tcPr>
            <w:tcW w:w="692" w:type="dxa"/>
            <w:shd w:val="clear" w:color="000000" w:fill="FFFFFF"/>
            <w:hideMark/>
          </w:tcPr>
          <w:p w14:paraId="3C869FC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w:t>
            </w:r>
          </w:p>
        </w:tc>
        <w:tc>
          <w:tcPr>
            <w:tcW w:w="941" w:type="dxa"/>
            <w:shd w:val="clear" w:color="000000" w:fill="FFFFFF"/>
            <w:hideMark/>
          </w:tcPr>
          <w:p w14:paraId="13ABE75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1-oct-21</w:t>
            </w:r>
          </w:p>
        </w:tc>
        <w:tc>
          <w:tcPr>
            <w:tcW w:w="1047" w:type="dxa"/>
            <w:shd w:val="clear" w:color="000000" w:fill="FFFFFF"/>
            <w:hideMark/>
          </w:tcPr>
          <w:p w14:paraId="44D7A75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30-jul-22</w:t>
            </w:r>
          </w:p>
        </w:tc>
        <w:tc>
          <w:tcPr>
            <w:tcW w:w="879" w:type="dxa"/>
            <w:shd w:val="clear" w:color="000000" w:fill="FFFFFF"/>
            <w:hideMark/>
          </w:tcPr>
          <w:p w14:paraId="483C47DA"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3</w:t>
            </w:r>
          </w:p>
        </w:tc>
        <w:tc>
          <w:tcPr>
            <w:tcW w:w="959" w:type="dxa"/>
            <w:shd w:val="clear" w:color="000000" w:fill="FFFFFF"/>
            <w:hideMark/>
          </w:tcPr>
          <w:p w14:paraId="4B9D4ED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A8BAF0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30-6-22 3 informes citan </w:t>
            </w:r>
            <w:proofErr w:type="spellStart"/>
            <w:r w:rsidRPr="00853EB6">
              <w:rPr>
                <w:rFonts w:ascii="Arial" w:eastAsia="Times New Roman" w:hAnsi="Arial" w:cs="Arial"/>
                <w:sz w:val="16"/>
                <w:szCs w:val="16"/>
                <w:lang w:eastAsia="es-CO"/>
              </w:rPr>
              <w:t>ctos</w:t>
            </w:r>
            <w:proofErr w:type="spellEnd"/>
            <w:r w:rsidRPr="00853EB6">
              <w:rPr>
                <w:rFonts w:ascii="Arial" w:eastAsia="Times New Roman" w:hAnsi="Arial" w:cs="Arial"/>
                <w:sz w:val="16"/>
                <w:szCs w:val="16"/>
                <w:lang w:eastAsia="es-CO"/>
              </w:rPr>
              <w:t xml:space="preserve"> FGN-NC-0178-21 </w:t>
            </w:r>
            <w:proofErr w:type="spellStart"/>
            <w:proofErr w:type="gramStart"/>
            <w:r w:rsidRPr="00853EB6">
              <w:rPr>
                <w:rFonts w:ascii="Arial" w:eastAsia="Times New Roman" w:hAnsi="Arial" w:cs="Arial"/>
                <w:sz w:val="16"/>
                <w:szCs w:val="16"/>
                <w:lang w:eastAsia="es-CO"/>
              </w:rPr>
              <w:t>S.Aquimindia</w:t>
            </w:r>
            <w:proofErr w:type="spellEnd"/>
            <w:proofErr w:type="gramEnd"/>
            <w:r w:rsidRPr="00853EB6">
              <w:rPr>
                <w:rFonts w:ascii="Arial" w:eastAsia="Times New Roman" w:hAnsi="Arial" w:cs="Arial"/>
                <w:sz w:val="16"/>
                <w:szCs w:val="16"/>
                <w:lang w:eastAsia="es-CO"/>
              </w:rPr>
              <w:t xml:space="preserve">, FGN-NC-0186-21 Mant. </w:t>
            </w:r>
            <w:proofErr w:type="spellStart"/>
            <w:r w:rsidRPr="00853EB6">
              <w:rPr>
                <w:rFonts w:ascii="Arial" w:eastAsia="Times New Roman" w:hAnsi="Arial" w:cs="Arial"/>
                <w:sz w:val="16"/>
                <w:szCs w:val="16"/>
                <w:lang w:eastAsia="es-CO"/>
              </w:rPr>
              <w:t>Prev</w:t>
            </w:r>
            <w:proofErr w:type="spellEnd"/>
            <w:r w:rsidRPr="00853EB6">
              <w:rPr>
                <w:rFonts w:ascii="Arial" w:eastAsia="Times New Roman" w:hAnsi="Arial" w:cs="Arial"/>
                <w:sz w:val="16"/>
                <w:szCs w:val="16"/>
                <w:lang w:eastAsia="es-CO"/>
              </w:rPr>
              <w:t xml:space="preserve">. y </w:t>
            </w:r>
            <w:proofErr w:type="spellStart"/>
            <w:r w:rsidRPr="00853EB6">
              <w:rPr>
                <w:rFonts w:ascii="Arial" w:eastAsia="Times New Roman" w:hAnsi="Arial" w:cs="Arial"/>
                <w:sz w:val="16"/>
                <w:szCs w:val="16"/>
                <w:lang w:eastAsia="es-CO"/>
              </w:rPr>
              <w:t>Correc</w:t>
            </w:r>
            <w:proofErr w:type="spellEnd"/>
            <w:r w:rsidRPr="00853EB6">
              <w:rPr>
                <w:rFonts w:ascii="Arial" w:eastAsia="Times New Roman" w:hAnsi="Arial" w:cs="Arial"/>
                <w:sz w:val="16"/>
                <w:szCs w:val="16"/>
                <w:lang w:eastAsia="es-CO"/>
              </w:rPr>
              <w:t xml:space="preserve">. plantas eléctricas y FGN-NC-0108-21 RAEE y certificaciones disposición final: GREENERS RECYCLING SAS 27-01-22; SERVIECOLOGICO SAS 13-04-22; TODO AMBIENTAL SAS ESP 01-02-22 y 01-04-22; LITO SAS 14-06-22; REII del 01-06-2022 y capacitación disposición final </w:t>
            </w:r>
            <w:proofErr w:type="spellStart"/>
            <w:r w:rsidRPr="00853EB6">
              <w:rPr>
                <w:rFonts w:ascii="Arial" w:eastAsia="Times New Roman" w:hAnsi="Arial" w:cs="Arial"/>
                <w:sz w:val="16"/>
                <w:szCs w:val="16"/>
                <w:lang w:eastAsia="es-CO"/>
              </w:rPr>
              <w:t>ctro</w:t>
            </w:r>
            <w:proofErr w:type="spellEnd"/>
            <w:r w:rsidRPr="00853EB6">
              <w:rPr>
                <w:rFonts w:ascii="Arial" w:eastAsia="Times New Roman" w:hAnsi="Arial" w:cs="Arial"/>
                <w:sz w:val="16"/>
                <w:szCs w:val="16"/>
                <w:lang w:eastAsia="es-CO"/>
              </w:rPr>
              <w:t xml:space="preserve"> acopio luminarias inservibles.</w:t>
            </w:r>
          </w:p>
        </w:tc>
      </w:tr>
      <w:tr w:rsidR="00853EB6" w:rsidRPr="00853EB6" w14:paraId="08D61935" w14:textId="77777777" w:rsidTr="00853EB6">
        <w:trPr>
          <w:trHeight w:val="1920"/>
        </w:trPr>
        <w:tc>
          <w:tcPr>
            <w:tcW w:w="2684" w:type="dxa"/>
            <w:shd w:val="clear" w:color="000000" w:fill="FFFFFF"/>
            <w:vAlign w:val="center"/>
            <w:hideMark/>
          </w:tcPr>
          <w:p w14:paraId="6440580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No.23. CN No. 165 de 2019 Supervisión.</w:t>
            </w:r>
            <w:r w:rsidRPr="00853EB6">
              <w:rPr>
                <w:rFonts w:ascii="Arial" w:eastAsia="Times New Roman" w:hAnsi="Arial" w:cs="Arial"/>
                <w:sz w:val="16"/>
                <w:szCs w:val="16"/>
                <w:lang w:eastAsia="es-CO"/>
              </w:rPr>
              <w:t xml:space="preserve"> En revisión documental de la ejecución, no se evidenciaron soportes que acreditaran el cumplimiento de la disposición final de desechos, contemplado en el numeral 21 y 22 de la cláusula Sexta del contrato.</w:t>
            </w:r>
          </w:p>
        </w:tc>
        <w:tc>
          <w:tcPr>
            <w:tcW w:w="1412" w:type="dxa"/>
            <w:shd w:val="clear" w:color="000000" w:fill="FFFFFF"/>
            <w:hideMark/>
          </w:tcPr>
          <w:p w14:paraId="137E6D4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desarrollo de las actividades de supervisión, conforme a lo consagrado en los artículos 83 y 84 de la Ley 1474 de 2011, en cuanto al cumplimiento de dos (2) obligaciones pactadas contractualmente.</w:t>
            </w:r>
          </w:p>
        </w:tc>
        <w:tc>
          <w:tcPr>
            <w:tcW w:w="1635" w:type="dxa"/>
            <w:shd w:val="clear" w:color="000000" w:fill="FFFFFF"/>
            <w:hideMark/>
          </w:tcPr>
          <w:p w14:paraId="5C7B4F5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Implementar mecanismos de control y seguimiento que garanticen el cumplimiento de las funciones de los supervisores.</w:t>
            </w:r>
          </w:p>
        </w:tc>
        <w:tc>
          <w:tcPr>
            <w:tcW w:w="1910" w:type="dxa"/>
            <w:shd w:val="clear" w:color="000000" w:fill="FFFFFF"/>
            <w:hideMark/>
          </w:tcPr>
          <w:p w14:paraId="3BF49F62" w14:textId="4A5F18F6"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Elaborar directriz indicando la obligatoriedad de incluir cláusulas de dispo</w:t>
            </w:r>
            <w:r>
              <w:rPr>
                <w:rFonts w:ascii="Arial" w:eastAsia="Times New Roman" w:hAnsi="Arial" w:cs="Arial"/>
                <w:sz w:val="16"/>
                <w:szCs w:val="16"/>
                <w:lang w:eastAsia="es-CO"/>
              </w:rPr>
              <w:t>si</w:t>
            </w:r>
            <w:r w:rsidRPr="00853EB6">
              <w:rPr>
                <w:rFonts w:ascii="Arial" w:eastAsia="Times New Roman" w:hAnsi="Arial" w:cs="Arial"/>
                <w:sz w:val="16"/>
                <w:szCs w:val="16"/>
                <w:lang w:eastAsia="es-CO"/>
              </w:rPr>
              <w:t>ción final de desechos en los contratos inherentes a infraestructura física.</w:t>
            </w:r>
          </w:p>
        </w:tc>
        <w:tc>
          <w:tcPr>
            <w:tcW w:w="1403" w:type="dxa"/>
            <w:shd w:val="clear" w:color="000000" w:fill="FFFFFF"/>
            <w:hideMark/>
          </w:tcPr>
          <w:p w14:paraId="3293345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Directriz</w:t>
            </w:r>
          </w:p>
        </w:tc>
        <w:tc>
          <w:tcPr>
            <w:tcW w:w="692" w:type="dxa"/>
            <w:shd w:val="clear" w:color="000000" w:fill="FFFFFF"/>
            <w:hideMark/>
          </w:tcPr>
          <w:p w14:paraId="544AD1D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55609A0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1-oct-21</w:t>
            </w:r>
          </w:p>
        </w:tc>
        <w:tc>
          <w:tcPr>
            <w:tcW w:w="1047" w:type="dxa"/>
            <w:shd w:val="clear" w:color="000000" w:fill="FFFFFF"/>
            <w:hideMark/>
          </w:tcPr>
          <w:p w14:paraId="760169C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15-jul-22</w:t>
            </w:r>
          </w:p>
        </w:tc>
        <w:tc>
          <w:tcPr>
            <w:tcW w:w="879" w:type="dxa"/>
            <w:shd w:val="clear" w:color="000000" w:fill="FFFFFF"/>
            <w:hideMark/>
          </w:tcPr>
          <w:p w14:paraId="672B4559"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021059F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4ABB270E" w14:textId="4E50274D"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31-12-2021 se evidenció: Oficio rad. 20216140012911 SBIENES-30500 del 16-12-2021 "Obligatoriedad para obtener certificados de disposición final cuya competencia corresponda al proceso de gestión de bienes", dirigido a Subdirectores Regionales de Apoyo, Jefe Departamento de Bienes, Almacén e Inventarios, Transportes y Construcciones. Socialización con correo del 22-12-21</w:t>
            </w:r>
          </w:p>
        </w:tc>
      </w:tr>
      <w:tr w:rsidR="00853EB6" w:rsidRPr="00853EB6" w14:paraId="33D2154D" w14:textId="77777777" w:rsidTr="00853EB6">
        <w:trPr>
          <w:trHeight w:val="2550"/>
        </w:trPr>
        <w:tc>
          <w:tcPr>
            <w:tcW w:w="2684" w:type="dxa"/>
            <w:shd w:val="clear" w:color="000000" w:fill="FFFFFF"/>
            <w:vAlign w:val="center"/>
            <w:hideMark/>
          </w:tcPr>
          <w:p w14:paraId="404C3C7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H. 24 Acuerdos de Nivel de Servicio (ANS).</w:t>
            </w:r>
            <w:r w:rsidRPr="00853EB6">
              <w:rPr>
                <w:rFonts w:ascii="Arial" w:eastAsia="Times New Roman" w:hAnsi="Arial" w:cs="Arial"/>
                <w:sz w:val="16"/>
                <w:szCs w:val="16"/>
                <w:lang w:eastAsia="es-CO"/>
              </w:rPr>
              <w:t xml:space="preserve"> En la Orden de Compra No. 40640 de 2019 del centro de contacto para servicio no presencial al ciudadano, con ANS que son indicadores para analizar el servicio contratado con porcentajes definidos para su cumplimiento, en los informes mensuales las estadísticas muestran que estos no se cumplieron, ni en los meses previos a la pandemia.</w:t>
            </w:r>
          </w:p>
        </w:tc>
        <w:tc>
          <w:tcPr>
            <w:tcW w:w="1412" w:type="dxa"/>
            <w:shd w:val="clear" w:color="000000" w:fill="FFFFFF"/>
            <w:hideMark/>
          </w:tcPr>
          <w:p w14:paraId="47B817F0" w14:textId="77777777" w:rsidR="00853EB6" w:rsidRPr="00853EB6" w:rsidRDefault="00853EB6" w:rsidP="00853EB6">
            <w:pPr>
              <w:spacing w:after="240"/>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No se le entregó al proveedor la capacidad requerida para atender el tráfico de interacciones.</w:t>
            </w:r>
            <w:r w:rsidRPr="00853EB6">
              <w:rPr>
                <w:rFonts w:ascii="Arial" w:eastAsia="Times New Roman" w:hAnsi="Arial" w:cs="Arial"/>
                <w:sz w:val="16"/>
                <w:szCs w:val="16"/>
                <w:lang w:eastAsia="es-CO"/>
              </w:rPr>
              <w:br/>
            </w:r>
          </w:p>
        </w:tc>
        <w:tc>
          <w:tcPr>
            <w:tcW w:w="1635" w:type="dxa"/>
            <w:shd w:val="clear" w:color="000000" w:fill="FFFFFF"/>
            <w:hideMark/>
          </w:tcPr>
          <w:p w14:paraId="1F123AA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Revisar y modificar el umbral de los acuerdos de niveles de servicio de conformidad con la capacidad instalada ofrecida al proveedor.</w:t>
            </w:r>
          </w:p>
        </w:tc>
        <w:tc>
          <w:tcPr>
            <w:tcW w:w="1910" w:type="dxa"/>
            <w:shd w:val="clear" w:color="000000" w:fill="FFFFFF"/>
            <w:hideMark/>
          </w:tcPr>
          <w:p w14:paraId="4181C0F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1. Revisión con Colombia Compra Eficiente - CCE sobre las condiciones del acuerdo.</w:t>
            </w:r>
          </w:p>
        </w:tc>
        <w:tc>
          <w:tcPr>
            <w:tcW w:w="1403" w:type="dxa"/>
            <w:shd w:val="clear" w:color="000000" w:fill="FFFFFF"/>
            <w:hideMark/>
          </w:tcPr>
          <w:p w14:paraId="29D42B3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Consulta por medio de correo electrónico a Colombia Compra Eficiente</w:t>
            </w:r>
          </w:p>
        </w:tc>
        <w:tc>
          <w:tcPr>
            <w:tcW w:w="692" w:type="dxa"/>
            <w:shd w:val="clear" w:color="000000" w:fill="FFFFFF"/>
            <w:hideMark/>
          </w:tcPr>
          <w:p w14:paraId="4B8B411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384BD95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15/06/2021</w:t>
            </w:r>
          </w:p>
        </w:tc>
        <w:tc>
          <w:tcPr>
            <w:tcW w:w="1047" w:type="dxa"/>
            <w:shd w:val="clear" w:color="000000" w:fill="FFFFFF"/>
            <w:hideMark/>
          </w:tcPr>
          <w:p w14:paraId="50DE4A0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30/06/2021</w:t>
            </w:r>
          </w:p>
        </w:tc>
        <w:tc>
          <w:tcPr>
            <w:tcW w:w="879" w:type="dxa"/>
            <w:shd w:val="clear" w:color="000000" w:fill="FFFFFF"/>
            <w:hideMark/>
          </w:tcPr>
          <w:p w14:paraId="549239F0"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08C59FC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704F25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31-12-2021 se evidenció que con la} nueva orden de compra No.69551 contrato 0063 de 2021 se realizó la implementación por un periodo de tres meses para posteriormente evaluar los ANS para llegar al acuerdo con el proveedor y fijar los nuevos umbrales y así generar el control respectivo para delimitar los umbrales con la capacidad existente en la entidad.</w:t>
            </w:r>
          </w:p>
        </w:tc>
      </w:tr>
      <w:tr w:rsidR="00853EB6" w:rsidRPr="00853EB6" w14:paraId="46C19311" w14:textId="77777777" w:rsidTr="00853EB6">
        <w:trPr>
          <w:trHeight w:val="2334"/>
        </w:trPr>
        <w:tc>
          <w:tcPr>
            <w:tcW w:w="2684" w:type="dxa"/>
            <w:shd w:val="clear" w:color="000000" w:fill="FFFFFF"/>
            <w:vAlign w:val="center"/>
            <w:hideMark/>
          </w:tcPr>
          <w:p w14:paraId="499DC14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H. 24 Acuerdos de Nivel de Servicio (ANS).</w:t>
            </w:r>
            <w:r w:rsidRPr="00853EB6">
              <w:rPr>
                <w:rFonts w:ascii="Arial" w:eastAsia="Times New Roman" w:hAnsi="Arial" w:cs="Arial"/>
                <w:sz w:val="16"/>
                <w:szCs w:val="16"/>
                <w:lang w:eastAsia="es-CO"/>
              </w:rPr>
              <w:t xml:space="preserve"> En la Orden de Compra No. 40640 de 2019 del centro de contacto para servicio no presencial al ciudadano, con ANS que son indicadores para analizar el servicio contratado con porcentajes definidos para su cumplimiento, en los informes mensuales las estadísticas muestran que estos no se cumplieron, ni en los meses previos a la pandemia.</w:t>
            </w:r>
          </w:p>
        </w:tc>
        <w:tc>
          <w:tcPr>
            <w:tcW w:w="1412" w:type="dxa"/>
            <w:shd w:val="clear" w:color="000000" w:fill="FFFFFF"/>
            <w:hideMark/>
          </w:tcPr>
          <w:p w14:paraId="440CB1A3" w14:textId="77777777" w:rsidR="00853EB6" w:rsidRPr="00853EB6" w:rsidRDefault="00853EB6" w:rsidP="00853EB6">
            <w:pPr>
              <w:spacing w:after="240"/>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No se le entregó al proveedor la capacidad requerida para atender el tráfico de interacciones.</w:t>
            </w:r>
            <w:r w:rsidRPr="00853EB6">
              <w:rPr>
                <w:rFonts w:ascii="Arial" w:eastAsia="Times New Roman" w:hAnsi="Arial" w:cs="Arial"/>
                <w:sz w:val="16"/>
                <w:szCs w:val="16"/>
                <w:lang w:eastAsia="es-CO"/>
              </w:rPr>
              <w:br/>
            </w:r>
          </w:p>
        </w:tc>
        <w:tc>
          <w:tcPr>
            <w:tcW w:w="1635" w:type="dxa"/>
            <w:shd w:val="clear" w:color="000000" w:fill="FFFFFF"/>
            <w:hideMark/>
          </w:tcPr>
          <w:p w14:paraId="59328C8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Revisar y modificar el umbral de los acuerdos de niveles de servicio de conformidad con la capacidad instalada ofrecida al proveedor.</w:t>
            </w:r>
          </w:p>
        </w:tc>
        <w:tc>
          <w:tcPr>
            <w:tcW w:w="1910" w:type="dxa"/>
            <w:shd w:val="clear" w:color="000000" w:fill="FFFFFF"/>
            <w:hideMark/>
          </w:tcPr>
          <w:p w14:paraId="08F8013E" w14:textId="2E60DDA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2. Según el concepto de CCE analizar cuál sería el ajuste a realizar al umbral de los ANS en el período de estabilización que se ejecuta durante los primero tres meses del contrato, para así lograr los niveles de servicio con metas adecuadas para la capacidad instalada que se ofrece al proveedor.</w:t>
            </w:r>
          </w:p>
        </w:tc>
        <w:tc>
          <w:tcPr>
            <w:tcW w:w="1403" w:type="dxa"/>
            <w:shd w:val="clear" w:color="000000" w:fill="FFFFFF"/>
            <w:hideMark/>
          </w:tcPr>
          <w:p w14:paraId="2D54514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Acta o documento que registre el acuerdo con el proveedor de los nuevos umbrales para los ANS </w:t>
            </w:r>
          </w:p>
        </w:tc>
        <w:tc>
          <w:tcPr>
            <w:tcW w:w="692" w:type="dxa"/>
            <w:shd w:val="clear" w:color="000000" w:fill="FFFFFF"/>
            <w:hideMark/>
          </w:tcPr>
          <w:p w14:paraId="16BE487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1CEF566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1/07/2021</w:t>
            </w:r>
          </w:p>
        </w:tc>
        <w:tc>
          <w:tcPr>
            <w:tcW w:w="1047" w:type="dxa"/>
            <w:shd w:val="clear" w:color="000000" w:fill="FFFFFF"/>
            <w:hideMark/>
          </w:tcPr>
          <w:p w14:paraId="24D2D36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30/10/2021</w:t>
            </w:r>
          </w:p>
        </w:tc>
        <w:tc>
          <w:tcPr>
            <w:tcW w:w="879" w:type="dxa"/>
            <w:shd w:val="clear" w:color="000000" w:fill="FFFFFF"/>
            <w:hideMark/>
          </w:tcPr>
          <w:p w14:paraId="3FD1EF8E"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73DFE5F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40A9A23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31-12-2021 se evidenció acta de fecha del 14 de octubre de 2021 "presentar nuevas metas para indicadores contractuales que se aplicarán a partir del mes de octubre de 2021"</w:t>
            </w:r>
          </w:p>
        </w:tc>
      </w:tr>
      <w:tr w:rsidR="00853EB6" w:rsidRPr="00853EB6" w14:paraId="6D9322F8" w14:textId="77777777" w:rsidTr="00853EB6">
        <w:trPr>
          <w:trHeight w:val="2550"/>
        </w:trPr>
        <w:tc>
          <w:tcPr>
            <w:tcW w:w="2684" w:type="dxa"/>
            <w:shd w:val="clear" w:color="000000" w:fill="FFFFFF"/>
            <w:vAlign w:val="center"/>
            <w:hideMark/>
          </w:tcPr>
          <w:p w14:paraId="5676390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No.25 Recepción de Vehículos Patio Único (D).</w:t>
            </w:r>
            <w:r w:rsidRPr="00853EB6">
              <w:rPr>
                <w:rFonts w:ascii="Arial" w:eastAsia="Times New Roman" w:hAnsi="Arial" w:cs="Arial"/>
                <w:sz w:val="16"/>
                <w:szCs w:val="16"/>
                <w:lang w:eastAsia="es-CO"/>
              </w:rPr>
              <w:t xml:space="preserve"> Las hojas de vida de los automotores de placas, HNN078B, DAP64F, AIZ-837, HNN07B, MUL088, DDT382, EKC64C y KXS11E, faltan documentos de ingreso como: Oficio firmado por el fiscal, Acta de incautación, Pantallazo del SPOA, Formato de ingreso a disposición del funcionario encargado de realizar la entrega del vehículo.</w:t>
            </w:r>
          </w:p>
        </w:tc>
        <w:tc>
          <w:tcPr>
            <w:tcW w:w="1412" w:type="dxa"/>
            <w:shd w:val="clear" w:color="000000" w:fill="FFFFFF"/>
            <w:hideMark/>
          </w:tcPr>
          <w:p w14:paraId="1077AB3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de control y seguimiento para el ingreso de los vehículos al patio único.</w:t>
            </w:r>
          </w:p>
        </w:tc>
        <w:tc>
          <w:tcPr>
            <w:tcW w:w="1635" w:type="dxa"/>
            <w:shd w:val="clear" w:color="000000" w:fill="FFFFFF"/>
            <w:hideMark/>
          </w:tcPr>
          <w:p w14:paraId="79AE922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Asegurar el cumplimiento de los requisitos para la recepción de los automotores en el patio único</w:t>
            </w:r>
          </w:p>
        </w:tc>
        <w:tc>
          <w:tcPr>
            <w:tcW w:w="1910" w:type="dxa"/>
            <w:shd w:val="clear" w:color="000000" w:fill="FFFFFF"/>
            <w:hideMark/>
          </w:tcPr>
          <w:p w14:paraId="0659C66D" w14:textId="3A3AD613"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Establecer la documentación faltante en las hojas de vida de los automotores para la vigencia 2020 y 2021.</w:t>
            </w:r>
          </w:p>
        </w:tc>
        <w:tc>
          <w:tcPr>
            <w:tcW w:w="1403" w:type="dxa"/>
            <w:shd w:val="clear" w:color="000000" w:fill="FFFFFF"/>
            <w:hideMark/>
          </w:tcPr>
          <w:p w14:paraId="3D1DF74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w:t>
            </w:r>
          </w:p>
        </w:tc>
        <w:tc>
          <w:tcPr>
            <w:tcW w:w="692" w:type="dxa"/>
            <w:shd w:val="clear" w:color="000000" w:fill="FFFFFF"/>
            <w:hideMark/>
          </w:tcPr>
          <w:p w14:paraId="41A5053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72C4CF7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1/07/2021</w:t>
            </w:r>
          </w:p>
        </w:tc>
        <w:tc>
          <w:tcPr>
            <w:tcW w:w="1047" w:type="dxa"/>
            <w:shd w:val="clear" w:color="000000" w:fill="FFFFFF"/>
            <w:hideMark/>
          </w:tcPr>
          <w:p w14:paraId="0357D79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31/12/2021</w:t>
            </w:r>
          </w:p>
        </w:tc>
        <w:tc>
          <w:tcPr>
            <w:tcW w:w="879" w:type="dxa"/>
            <w:shd w:val="clear" w:color="000000" w:fill="FFFFFF"/>
            <w:hideMark/>
          </w:tcPr>
          <w:p w14:paraId="0EAB4E30"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5CE3437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86B75CE" w14:textId="47BA8906"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31-12-2021 aportaron informe de interventoría vigencia 2020 elaborado por el Coordinador del patio de la entidad del 14-01-2022, indicando las actividades implementadas frente a la documentación faltante de las Hojas de Vida de automotores referidas en el hallazgo.</w:t>
            </w:r>
          </w:p>
        </w:tc>
      </w:tr>
      <w:tr w:rsidR="00853EB6" w:rsidRPr="00853EB6" w14:paraId="0B037B75" w14:textId="77777777" w:rsidTr="00853EB6">
        <w:trPr>
          <w:trHeight w:val="2177"/>
        </w:trPr>
        <w:tc>
          <w:tcPr>
            <w:tcW w:w="2684" w:type="dxa"/>
            <w:shd w:val="clear" w:color="000000" w:fill="FFFFFF"/>
            <w:vAlign w:val="center"/>
            <w:hideMark/>
          </w:tcPr>
          <w:p w14:paraId="3D63766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No.25 Recepción de Vehículos Patio Único (D).</w:t>
            </w:r>
            <w:r w:rsidRPr="00853EB6">
              <w:rPr>
                <w:rFonts w:ascii="Arial" w:eastAsia="Times New Roman" w:hAnsi="Arial" w:cs="Arial"/>
                <w:sz w:val="16"/>
                <w:szCs w:val="16"/>
                <w:lang w:eastAsia="es-CO"/>
              </w:rPr>
              <w:t xml:space="preserve"> Las hojas de vida de los automotores de placas, HNN078B, DAP64F, AIZ-837, HNN07B, MUL088, DDT382, EKC64C y KXS11E, faltan documentos de ingreso como: Oficio firmado por el fiscal, Acta de incautación, Pantallazo del SPOA, Formato de ingreso a disposición del funcionario encargado de realizar la entrega del vehículo.</w:t>
            </w:r>
          </w:p>
        </w:tc>
        <w:tc>
          <w:tcPr>
            <w:tcW w:w="1412" w:type="dxa"/>
            <w:shd w:val="clear" w:color="000000" w:fill="FFFFFF"/>
            <w:hideMark/>
          </w:tcPr>
          <w:p w14:paraId="2BC2812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de control y seguimiento para el ingreso de los vehículos al patio único.</w:t>
            </w:r>
          </w:p>
        </w:tc>
        <w:tc>
          <w:tcPr>
            <w:tcW w:w="1635" w:type="dxa"/>
            <w:shd w:val="clear" w:color="000000" w:fill="FFFFFF"/>
            <w:hideMark/>
          </w:tcPr>
          <w:p w14:paraId="068F767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Asegurar el cumplimiento de los requisitos para la recepción de los automotores en el patio único</w:t>
            </w:r>
          </w:p>
        </w:tc>
        <w:tc>
          <w:tcPr>
            <w:tcW w:w="1910" w:type="dxa"/>
            <w:shd w:val="clear" w:color="000000" w:fill="FFFFFF"/>
            <w:hideMark/>
          </w:tcPr>
          <w:p w14:paraId="42D3746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Obtener e incluir la información faltante en las hojas de vida de los automotores</w:t>
            </w:r>
          </w:p>
        </w:tc>
        <w:tc>
          <w:tcPr>
            <w:tcW w:w="1403" w:type="dxa"/>
            <w:shd w:val="clear" w:color="000000" w:fill="FFFFFF"/>
            <w:hideMark/>
          </w:tcPr>
          <w:p w14:paraId="452464D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Informes trimestrales de avance</w:t>
            </w:r>
          </w:p>
        </w:tc>
        <w:tc>
          <w:tcPr>
            <w:tcW w:w="692" w:type="dxa"/>
            <w:shd w:val="clear" w:color="000000" w:fill="FFFFFF"/>
            <w:hideMark/>
          </w:tcPr>
          <w:p w14:paraId="203D370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w:t>
            </w:r>
          </w:p>
        </w:tc>
        <w:tc>
          <w:tcPr>
            <w:tcW w:w="941" w:type="dxa"/>
            <w:shd w:val="clear" w:color="000000" w:fill="FFFFFF"/>
            <w:hideMark/>
          </w:tcPr>
          <w:p w14:paraId="6775578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2/08/2021</w:t>
            </w:r>
          </w:p>
        </w:tc>
        <w:tc>
          <w:tcPr>
            <w:tcW w:w="1047" w:type="dxa"/>
            <w:shd w:val="clear" w:color="000000" w:fill="FFFFFF"/>
            <w:hideMark/>
          </w:tcPr>
          <w:p w14:paraId="1BAC525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31/01/2022</w:t>
            </w:r>
          </w:p>
        </w:tc>
        <w:tc>
          <w:tcPr>
            <w:tcW w:w="879" w:type="dxa"/>
            <w:shd w:val="clear" w:color="000000" w:fill="FFFFFF"/>
            <w:hideMark/>
          </w:tcPr>
          <w:p w14:paraId="586A4247"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2</w:t>
            </w:r>
          </w:p>
        </w:tc>
        <w:tc>
          <w:tcPr>
            <w:tcW w:w="959" w:type="dxa"/>
            <w:shd w:val="clear" w:color="000000" w:fill="FFFFFF"/>
            <w:hideMark/>
          </w:tcPr>
          <w:p w14:paraId="7F7D729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853341F" w14:textId="669B7A6F"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 30-6-22 Se evidenciaron informes de enero y marzo de 2022, que informan las gestiones realizadas con los despachos judiciales para que alleguen la información faltante en las hojas de vida de los automotores. Aún faltan respuestas de despachos.</w:t>
            </w:r>
          </w:p>
        </w:tc>
      </w:tr>
      <w:tr w:rsidR="00853EB6" w:rsidRPr="00853EB6" w14:paraId="28CB35B2" w14:textId="77777777" w:rsidTr="00853EB6">
        <w:trPr>
          <w:trHeight w:val="2295"/>
        </w:trPr>
        <w:tc>
          <w:tcPr>
            <w:tcW w:w="2684" w:type="dxa"/>
            <w:shd w:val="clear" w:color="000000" w:fill="FFFFFF"/>
            <w:vAlign w:val="center"/>
            <w:hideMark/>
          </w:tcPr>
          <w:p w14:paraId="48FA4D0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 xml:space="preserve">No.26. Aglomeración parque automotor en patio único. </w:t>
            </w:r>
            <w:r w:rsidRPr="00853EB6">
              <w:rPr>
                <w:rFonts w:ascii="Arial" w:eastAsia="Times New Roman" w:hAnsi="Arial" w:cs="Arial"/>
                <w:sz w:val="16"/>
                <w:szCs w:val="16"/>
                <w:lang w:eastAsia="es-CO"/>
              </w:rPr>
              <w:t>En recorrido realizado al Patio Único se pudo verificar que el terreno cuenta con un área de 30.000 mts2, el cual llego a su máxima capacidad ocupacional debido a la congestión generada, por la gran cantidad de automotores que ingresa al patio diariamente.</w:t>
            </w:r>
          </w:p>
        </w:tc>
        <w:tc>
          <w:tcPr>
            <w:tcW w:w="1412" w:type="dxa"/>
            <w:shd w:val="clear" w:color="000000" w:fill="FFFFFF"/>
            <w:hideMark/>
          </w:tcPr>
          <w:p w14:paraId="456917E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Falta de gestión y seguimiento por parte de los subdirectores y fiscales ante los bajos resultados sobre la descongestión de los automotores incautados.</w:t>
            </w:r>
          </w:p>
        </w:tc>
        <w:tc>
          <w:tcPr>
            <w:tcW w:w="1635" w:type="dxa"/>
            <w:shd w:val="clear" w:color="000000" w:fill="FFFFFF"/>
            <w:hideMark/>
          </w:tcPr>
          <w:p w14:paraId="63CD31D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Subdirección de Bienes y la Dirección Seccional (Asesor DSC) un plan de trabajo para la identificación del estado jurídico de los bienes.</w:t>
            </w:r>
          </w:p>
        </w:tc>
        <w:tc>
          <w:tcPr>
            <w:tcW w:w="1910" w:type="dxa"/>
            <w:shd w:val="clear" w:color="000000" w:fill="FFFFFF"/>
            <w:hideMark/>
          </w:tcPr>
          <w:p w14:paraId="45677B4F" w14:textId="6E4EFF43"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Adelantar mesas de trabajo con el fin de implementar un cronograma de actividades</w:t>
            </w:r>
          </w:p>
        </w:tc>
        <w:tc>
          <w:tcPr>
            <w:tcW w:w="1403" w:type="dxa"/>
            <w:shd w:val="clear" w:color="000000" w:fill="FFFFFF"/>
            <w:hideMark/>
          </w:tcPr>
          <w:p w14:paraId="2DF26BA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Plan de trabajo y / o cronograma</w:t>
            </w:r>
          </w:p>
        </w:tc>
        <w:tc>
          <w:tcPr>
            <w:tcW w:w="692" w:type="dxa"/>
            <w:shd w:val="clear" w:color="000000" w:fill="FFFFFF"/>
            <w:hideMark/>
          </w:tcPr>
          <w:p w14:paraId="4819ADD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1C2F748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1/07/2021</w:t>
            </w:r>
          </w:p>
        </w:tc>
        <w:tc>
          <w:tcPr>
            <w:tcW w:w="1047" w:type="dxa"/>
            <w:shd w:val="clear" w:color="000000" w:fill="FFFFFF"/>
            <w:hideMark/>
          </w:tcPr>
          <w:p w14:paraId="6395AA2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31/07/2021</w:t>
            </w:r>
          </w:p>
        </w:tc>
        <w:tc>
          <w:tcPr>
            <w:tcW w:w="879" w:type="dxa"/>
            <w:shd w:val="clear" w:color="000000" w:fill="FFFFFF"/>
            <w:hideMark/>
          </w:tcPr>
          <w:p w14:paraId="2F6A169B"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13F215B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42ACB6E" w14:textId="09FB453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31-12-2021 Se evidenció cronograma elaborado en Excel con actividades iniciales desde agosto de 2020 a julio de 2022; Se observa informe estratégico de apoyo a la Subdirección Regional Noroccidental de fecha 03 de agosto de 2021, indicando acciones a seguir respecto de algunos automotores.</w:t>
            </w:r>
          </w:p>
        </w:tc>
      </w:tr>
      <w:tr w:rsidR="00853EB6" w:rsidRPr="00853EB6" w14:paraId="29C305B9" w14:textId="77777777" w:rsidTr="00853EB6">
        <w:trPr>
          <w:trHeight w:val="2295"/>
        </w:trPr>
        <w:tc>
          <w:tcPr>
            <w:tcW w:w="2684" w:type="dxa"/>
            <w:shd w:val="clear" w:color="000000" w:fill="FFFFFF"/>
            <w:vAlign w:val="center"/>
            <w:hideMark/>
          </w:tcPr>
          <w:p w14:paraId="0FC6286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 xml:space="preserve">No.26. Aglomeración parque automotor en patio único. </w:t>
            </w:r>
            <w:r w:rsidRPr="00853EB6">
              <w:rPr>
                <w:rFonts w:ascii="Arial" w:eastAsia="Times New Roman" w:hAnsi="Arial" w:cs="Arial"/>
                <w:sz w:val="16"/>
                <w:szCs w:val="16"/>
                <w:lang w:eastAsia="es-CO"/>
              </w:rPr>
              <w:t>En recorrido realizado al Patio Único se pudo verificar que el terreno cuenta con un área de 30.000 mts2, el cual llego a su máxima capacidad ocupacional debido a la congestión generada, por la gran cantidad de automotores que ingresa al patio diariamente.</w:t>
            </w:r>
          </w:p>
        </w:tc>
        <w:tc>
          <w:tcPr>
            <w:tcW w:w="1412" w:type="dxa"/>
            <w:shd w:val="clear" w:color="000000" w:fill="FFFFFF"/>
            <w:hideMark/>
          </w:tcPr>
          <w:p w14:paraId="4008B88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Falta de gestión y seguimiento por parte de los subdirectores y fiscales ante los bajos resultados sobre la descongestión de los automotores incautados.</w:t>
            </w:r>
          </w:p>
        </w:tc>
        <w:tc>
          <w:tcPr>
            <w:tcW w:w="1635" w:type="dxa"/>
            <w:shd w:val="clear" w:color="000000" w:fill="FFFFFF"/>
            <w:hideMark/>
          </w:tcPr>
          <w:p w14:paraId="62B813C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Subdirección de Bienes y la Dirección Seccional (Asesor DSC) un plan de trabajo para la identificación del estado jurídico de los bienes.</w:t>
            </w:r>
          </w:p>
        </w:tc>
        <w:tc>
          <w:tcPr>
            <w:tcW w:w="1910" w:type="dxa"/>
            <w:shd w:val="clear" w:color="000000" w:fill="FFFFFF"/>
            <w:hideMark/>
          </w:tcPr>
          <w:p w14:paraId="61A313C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Informe bimestral de avance de actividades </w:t>
            </w:r>
          </w:p>
        </w:tc>
        <w:tc>
          <w:tcPr>
            <w:tcW w:w="1403" w:type="dxa"/>
            <w:shd w:val="clear" w:color="000000" w:fill="FFFFFF"/>
            <w:hideMark/>
          </w:tcPr>
          <w:p w14:paraId="483BE7F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avance</w:t>
            </w:r>
          </w:p>
        </w:tc>
        <w:tc>
          <w:tcPr>
            <w:tcW w:w="692" w:type="dxa"/>
            <w:shd w:val="clear" w:color="000000" w:fill="FFFFFF"/>
            <w:hideMark/>
          </w:tcPr>
          <w:p w14:paraId="3D3F64B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4407CD3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2/08/2021</w:t>
            </w:r>
          </w:p>
        </w:tc>
        <w:tc>
          <w:tcPr>
            <w:tcW w:w="1047" w:type="dxa"/>
            <w:shd w:val="clear" w:color="000000" w:fill="FFFFFF"/>
            <w:hideMark/>
          </w:tcPr>
          <w:p w14:paraId="7A57D5A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29/07/2022</w:t>
            </w:r>
          </w:p>
        </w:tc>
        <w:tc>
          <w:tcPr>
            <w:tcW w:w="879" w:type="dxa"/>
            <w:shd w:val="clear" w:color="000000" w:fill="FFFFFF"/>
            <w:hideMark/>
          </w:tcPr>
          <w:p w14:paraId="63E208E1"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717B853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4235EC9C" w14:textId="584886E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Se observó informe </w:t>
            </w:r>
            <w:r w:rsidR="00862168" w:rsidRPr="00853EB6">
              <w:rPr>
                <w:rFonts w:ascii="Arial" w:eastAsia="Times New Roman" w:hAnsi="Arial" w:cs="Arial"/>
                <w:sz w:val="16"/>
                <w:szCs w:val="16"/>
                <w:lang w:eastAsia="es-CO"/>
              </w:rPr>
              <w:t>trimestral del</w:t>
            </w:r>
            <w:r w:rsidRPr="00853EB6">
              <w:rPr>
                <w:rFonts w:ascii="Arial" w:eastAsia="Times New Roman" w:hAnsi="Arial" w:cs="Arial"/>
                <w:sz w:val="16"/>
                <w:szCs w:val="16"/>
                <w:lang w:eastAsia="es-CO"/>
              </w:rPr>
              <w:t xml:space="preserve"> 30-09-2022, se aportan las resoluciones de baja y declaratoria de abandono, así: - Resolución 0135 del 30/09/2022.</w:t>
            </w:r>
            <w:r w:rsidRPr="00853EB6">
              <w:rPr>
                <w:rFonts w:ascii="Arial" w:eastAsia="Times New Roman" w:hAnsi="Arial" w:cs="Arial"/>
                <w:sz w:val="16"/>
                <w:szCs w:val="16"/>
                <w:lang w:eastAsia="es-CO"/>
              </w:rPr>
              <w:br/>
            </w:r>
            <w:proofErr w:type="spellStart"/>
            <w:r w:rsidRPr="00853EB6">
              <w:rPr>
                <w:rFonts w:ascii="Arial" w:eastAsia="Times New Roman" w:hAnsi="Arial" w:cs="Arial"/>
                <w:sz w:val="16"/>
                <w:szCs w:val="16"/>
                <w:lang w:eastAsia="es-CO"/>
              </w:rPr>
              <w:t>Tambien</w:t>
            </w:r>
            <w:proofErr w:type="spellEnd"/>
            <w:r w:rsidRPr="00853EB6">
              <w:rPr>
                <w:rFonts w:ascii="Arial" w:eastAsia="Times New Roman" w:hAnsi="Arial" w:cs="Arial"/>
                <w:sz w:val="16"/>
                <w:szCs w:val="16"/>
                <w:lang w:eastAsia="es-CO"/>
              </w:rPr>
              <w:t xml:space="preserve"> corresponden los informes del 31-08-2022 -FEAB y del 30-09-2022- Declaratoria de abandono. </w:t>
            </w:r>
          </w:p>
        </w:tc>
      </w:tr>
      <w:tr w:rsidR="00853EB6" w:rsidRPr="00853EB6" w14:paraId="262F5E7F" w14:textId="77777777" w:rsidTr="00853EB6">
        <w:trPr>
          <w:trHeight w:val="2178"/>
        </w:trPr>
        <w:tc>
          <w:tcPr>
            <w:tcW w:w="2684" w:type="dxa"/>
            <w:shd w:val="clear" w:color="000000" w:fill="FFFFFF"/>
            <w:vAlign w:val="center"/>
            <w:hideMark/>
          </w:tcPr>
          <w:p w14:paraId="670EFD51" w14:textId="66FAB560"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 xml:space="preserve">No.27 Control de llaves de </w:t>
            </w:r>
            <w:r w:rsidR="00862168" w:rsidRPr="00853EB6">
              <w:rPr>
                <w:rFonts w:ascii="Arial" w:eastAsia="Times New Roman" w:hAnsi="Arial" w:cs="Arial"/>
                <w:b/>
                <w:bCs/>
                <w:sz w:val="16"/>
                <w:szCs w:val="16"/>
                <w:lang w:eastAsia="es-CO"/>
              </w:rPr>
              <w:t>vehículos</w:t>
            </w:r>
            <w:r w:rsidRPr="00853EB6">
              <w:rPr>
                <w:rFonts w:ascii="Arial" w:eastAsia="Times New Roman" w:hAnsi="Arial" w:cs="Arial"/>
                <w:b/>
                <w:bCs/>
                <w:sz w:val="16"/>
                <w:szCs w:val="16"/>
                <w:lang w:eastAsia="es-CO"/>
              </w:rPr>
              <w:t xml:space="preserve"> patio único.</w:t>
            </w:r>
            <w:r w:rsidRPr="00853EB6">
              <w:rPr>
                <w:rFonts w:ascii="Arial" w:eastAsia="Times New Roman" w:hAnsi="Arial" w:cs="Arial"/>
                <w:sz w:val="16"/>
                <w:szCs w:val="16"/>
                <w:lang w:eastAsia="es-CO"/>
              </w:rPr>
              <w:t xml:space="preserve"> En visita realizada al patio único del Municipio de Caldas el 19-Mar-21, se observó que no están cumpliendo con la normatividad, debido a que se evidenciaron 1.200 automotores con sus respectivas llaves puestas, aumentando así el riesgo de robo, pérdida o manipulación inadecuada de las llaves automotores.</w:t>
            </w:r>
          </w:p>
        </w:tc>
        <w:tc>
          <w:tcPr>
            <w:tcW w:w="1412" w:type="dxa"/>
            <w:shd w:val="clear" w:color="000000" w:fill="FFFFFF"/>
            <w:hideMark/>
          </w:tcPr>
          <w:p w14:paraId="45190CA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Falta de seguimiento y control por parte del administrador del patio.</w:t>
            </w:r>
          </w:p>
        </w:tc>
        <w:tc>
          <w:tcPr>
            <w:tcW w:w="1635" w:type="dxa"/>
            <w:shd w:val="clear" w:color="000000" w:fill="FFFFFF"/>
            <w:hideMark/>
          </w:tcPr>
          <w:p w14:paraId="25F15449" w14:textId="3B616D23"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Solicitar la adquisición de un Llaveramen para el control de las llaves de los </w:t>
            </w:r>
            <w:r w:rsidR="00862168" w:rsidRPr="00853EB6">
              <w:rPr>
                <w:rFonts w:ascii="Arial" w:eastAsia="Times New Roman" w:hAnsi="Arial" w:cs="Arial"/>
                <w:sz w:val="16"/>
                <w:szCs w:val="16"/>
                <w:lang w:eastAsia="es-CO"/>
              </w:rPr>
              <w:t>vehículos</w:t>
            </w:r>
            <w:r w:rsidRPr="00853EB6">
              <w:rPr>
                <w:rFonts w:ascii="Arial" w:eastAsia="Times New Roman" w:hAnsi="Arial" w:cs="Arial"/>
                <w:sz w:val="16"/>
                <w:szCs w:val="16"/>
                <w:lang w:eastAsia="es-CO"/>
              </w:rPr>
              <w:t xml:space="preserve"> incautados en el Patio </w:t>
            </w:r>
            <w:r w:rsidR="00862168" w:rsidRPr="00853EB6">
              <w:rPr>
                <w:rFonts w:ascii="Arial" w:eastAsia="Times New Roman" w:hAnsi="Arial" w:cs="Arial"/>
                <w:sz w:val="16"/>
                <w:szCs w:val="16"/>
                <w:lang w:eastAsia="es-CO"/>
              </w:rPr>
              <w:t>único</w:t>
            </w:r>
          </w:p>
        </w:tc>
        <w:tc>
          <w:tcPr>
            <w:tcW w:w="1910" w:type="dxa"/>
            <w:shd w:val="clear" w:color="000000" w:fill="FFFFFF"/>
            <w:hideMark/>
          </w:tcPr>
          <w:p w14:paraId="1A7F4503" w14:textId="7D2FF95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Adquirir un Llaveramen para el manejo y custodia de las llaves de los </w:t>
            </w:r>
            <w:r w:rsidR="00862168" w:rsidRPr="00853EB6">
              <w:rPr>
                <w:rFonts w:ascii="Arial" w:eastAsia="Times New Roman" w:hAnsi="Arial" w:cs="Arial"/>
                <w:sz w:val="16"/>
                <w:szCs w:val="16"/>
                <w:lang w:eastAsia="es-CO"/>
              </w:rPr>
              <w:t>vehículos</w:t>
            </w:r>
            <w:r w:rsidRPr="00853EB6">
              <w:rPr>
                <w:rFonts w:ascii="Arial" w:eastAsia="Times New Roman" w:hAnsi="Arial" w:cs="Arial"/>
                <w:sz w:val="16"/>
                <w:szCs w:val="16"/>
                <w:lang w:eastAsia="es-CO"/>
              </w:rPr>
              <w:t xml:space="preserve"> incautados, que de acuerdo con el inventario, hayan ingresado con ella.</w:t>
            </w:r>
          </w:p>
        </w:tc>
        <w:tc>
          <w:tcPr>
            <w:tcW w:w="1403" w:type="dxa"/>
            <w:shd w:val="clear" w:color="000000" w:fill="FFFFFF"/>
            <w:hideMark/>
          </w:tcPr>
          <w:p w14:paraId="1F874BF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Llaveramen</w:t>
            </w:r>
          </w:p>
        </w:tc>
        <w:tc>
          <w:tcPr>
            <w:tcW w:w="692" w:type="dxa"/>
            <w:shd w:val="clear" w:color="000000" w:fill="FFFFFF"/>
            <w:hideMark/>
          </w:tcPr>
          <w:p w14:paraId="2479642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6004BCF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1/07/2021</w:t>
            </w:r>
          </w:p>
        </w:tc>
        <w:tc>
          <w:tcPr>
            <w:tcW w:w="1047" w:type="dxa"/>
            <w:shd w:val="clear" w:color="000000" w:fill="FFFFFF"/>
            <w:hideMark/>
          </w:tcPr>
          <w:p w14:paraId="30D2D09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1/10/2021</w:t>
            </w:r>
          </w:p>
        </w:tc>
        <w:tc>
          <w:tcPr>
            <w:tcW w:w="879" w:type="dxa"/>
            <w:shd w:val="clear" w:color="000000" w:fill="FFFFFF"/>
            <w:hideMark/>
          </w:tcPr>
          <w:p w14:paraId="5C8DF8CB"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4D8E6F6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08129D9" w14:textId="2174886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w:t>
            </w:r>
            <w:r w:rsidR="00862168" w:rsidRPr="00853EB6">
              <w:rPr>
                <w:rFonts w:ascii="Arial" w:eastAsia="Times New Roman" w:hAnsi="Arial" w:cs="Arial"/>
                <w:sz w:val="16"/>
                <w:szCs w:val="16"/>
                <w:lang w:eastAsia="es-CO"/>
              </w:rPr>
              <w:t>fotografía</w:t>
            </w:r>
            <w:r w:rsidRPr="00853EB6">
              <w:rPr>
                <w:rFonts w:ascii="Arial" w:eastAsia="Times New Roman" w:hAnsi="Arial" w:cs="Arial"/>
                <w:sz w:val="16"/>
                <w:szCs w:val="16"/>
                <w:lang w:eastAsia="es-CO"/>
              </w:rPr>
              <w:t xml:space="preserve"> del </w:t>
            </w:r>
            <w:r w:rsidR="00862168" w:rsidRPr="00853EB6">
              <w:rPr>
                <w:rFonts w:ascii="Arial" w:eastAsia="Times New Roman" w:hAnsi="Arial" w:cs="Arial"/>
                <w:sz w:val="16"/>
                <w:szCs w:val="16"/>
                <w:lang w:eastAsia="es-CO"/>
              </w:rPr>
              <w:t>Llaveramen</w:t>
            </w:r>
            <w:r w:rsidRPr="00853EB6">
              <w:rPr>
                <w:rFonts w:ascii="Arial" w:eastAsia="Times New Roman" w:hAnsi="Arial" w:cs="Arial"/>
                <w:sz w:val="16"/>
                <w:szCs w:val="16"/>
                <w:lang w:eastAsia="es-CO"/>
              </w:rPr>
              <w:t xml:space="preserve"> implementado en el patio único para el manejo y custodia de las llaves de los automotores.</w:t>
            </w:r>
          </w:p>
        </w:tc>
      </w:tr>
      <w:tr w:rsidR="00853EB6" w:rsidRPr="00853EB6" w14:paraId="7018B67B" w14:textId="77777777" w:rsidTr="00853EB6">
        <w:trPr>
          <w:trHeight w:val="2550"/>
        </w:trPr>
        <w:tc>
          <w:tcPr>
            <w:tcW w:w="2684" w:type="dxa"/>
            <w:shd w:val="clear" w:color="000000" w:fill="FFFFFF"/>
            <w:vAlign w:val="center"/>
            <w:hideMark/>
          </w:tcPr>
          <w:p w14:paraId="63BA807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No. 28. Garitas patio único.</w:t>
            </w:r>
            <w:r w:rsidRPr="00853EB6">
              <w:rPr>
                <w:rFonts w:ascii="Arial" w:eastAsia="Times New Roman" w:hAnsi="Arial" w:cs="Arial"/>
                <w:sz w:val="16"/>
                <w:szCs w:val="16"/>
                <w:lang w:eastAsia="es-CO"/>
              </w:rPr>
              <w:t xml:space="preserve"> En visita realizada al Patio Único se evidenció que las instalaciones donde los guardas realizan sus operaciones de vigilancia (Garitas) no cumplen con las condiciones óptimas para una prestación de servicio eficiente, situación puesta en conocimiento a la FGN por parte del contratista sin que las mismas hayan sido intervenidas a la fecha de la visita.</w:t>
            </w:r>
          </w:p>
        </w:tc>
        <w:tc>
          <w:tcPr>
            <w:tcW w:w="1412" w:type="dxa"/>
            <w:shd w:val="clear" w:color="000000" w:fill="FFFFFF"/>
            <w:hideMark/>
          </w:tcPr>
          <w:p w14:paraId="04DE576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Por debilidades de control, ejecución y seguimiento del proceso contractual.</w:t>
            </w:r>
          </w:p>
        </w:tc>
        <w:tc>
          <w:tcPr>
            <w:tcW w:w="1635" w:type="dxa"/>
            <w:shd w:val="clear" w:color="000000" w:fill="FFFFFF"/>
            <w:hideMark/>
          </w:tcPr>
          <w:p w14:paraId="2BA45AA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Mejorar el estado actual de las garitas en los patios únicos</w:t>
            </w:r>
          </w:p>
        </w:tc>
        <w:tc>
          <w:tcPr>
            <w:tcW w:w="1910" w:type="dxa"/>
            <w:shd w:val="clear" w:color="000000" w:fill="FFFFFF"/>
            <w:hideMark/>
          </w:tcPr>
          <w:p w14:paraId="7D84C26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Hacer inventario del estado actual de las garitas en los patios únicos para determinar las mejoras a realizar</w:t>
            </w:r>
          </w:p>
        </w:tc>
        <w:tc>
          <w:tcPr>
            <w:tcW w:w="1403" w:type="dxa"/>
            <w:shd w:val="clear" w:color="000000" w:fill="FFFFFF"/>
            <w:hideMark/>
          </w:tcPr>
          <w:p w14:paraId="692393E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estado actual con recomendaciones de mejoras</w:t>
            </w:r>
          </w:p>
        </w:tc>
        <w:tc>
          <w:tcPr>
            <w:tcW w:w="692" w:type="dxa"/>
            <w:shd w:val="clear" w:color="000000" w:fill="FFFFFF"/>
            <w:hideMark/>
          </w:tcPr>
          <w:p w14:paraId="14EF047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308B8F3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1/07/2021</w:t>
            </w:r>
          </w:p>
        </w:tc>
        <w:tc>
          <w:tcPr>
            <w:tcW w:w="1047" w:type="dxa"/>
            <w:shd w:val="clear" w:color="000000" w:fill="FFFFFF"/>
            <w:hideMark/>
          </w:tcPr>
          <w:p w14:paraId="7501209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1/10/2021</w:t>
            </w:r>
          </w:p>
        </w:tc>
        <w:tc>
          <w:tcPr>
            <w:tcW w:w="879" w:type="dxa"/>
            <w:shd w:val="clear" w:color="000000" w:fill="FFFFFF"/>
            <w:hideMark/>
          </w:tcPr>
          <w:p w14:paraId="53490F8B"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34E627D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0E085104" w14:textId="3C935F7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31-12-2021 Se evidenció informe de fecha 21-10-2021 realizado por el arquitecto de la Subdirección Regional Noroccidental que contiene el estado actual de las garitas y las recomendaciones a tener en cuenta para su mejora, acompañado de </w:t>
            </w:r>
            <w:r w:rsidR="00862168" w:rsidRPr="00853EB6">
              <w:rPr>
                <w:rFonts w:ascii="Arial" w:eastAsia="Times New Roman" w:hAnsi="Arial" w:cs="Arial"/>
                <w:sz w:val="16"/>
                <w:szCs w:val="16"/>
                <w:lang w:eastAsia="es-CO"/>
              </w:rPr>
              <w:t>fotografías</w:t>
            </w:r>
            <w:r w:rsidRPr="00853EB6">
              <w:rPr>
                <w:rFonts w:ascii="Arial" w:eastAsia="Times New Roman" w:hAnsi="Arial" w:cs="Arial"/>
                <w:sz w:val="16"/>
                <w:szCs w:val="16"/>
                <w:lang w:eastAsia="es-CO"/>
              </w:rPr>
              <w:t>.</w:t>
            </w:r>
          </w:p>
        </w:tc>
      </w:tr>
      <w:tr w:rsidR="00853EB6" w:rsidRPr="00853EB6" w14:paraId="621663F0" w14:textId="77777777" w:rsidTr="00853EB6">
        <w:trPr>
          <w:trHeight w:val="2295"/>
        </w:trPr>
        <w:tc>
          <w:tcPr>
            <w:tcW w:w="2684" w:type="dxa"/>
            <w:shd w:val="clear" w:color="000000" w:fill="FFFFFF"/>
            <w:vAlign w:val="center"/>
            <w:hideMark/>
          </w:tcPr>
          <w:p w14:paraId="275E640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No.29. Impacto ambiental en el patio único.</w:t>
            </w:r>
            <w:r w:rsidRPr="00853EB6">
              <w:rPr>
                <w:rFonts w:ascii="Arial" w:eastAsia="Times New Roman" w:hAnsi="Arial" w:cs="Arial"/>
                <w:sz w:val="16"/>
                <w:szCs w:val="16"/>
                <w:lang w:eastAsia="es-CO"/>
              </w:rPr>
              <w:t xml:space="preserve"> En el Patio Único se observaron todo tipo de automotores deteriorados y oxidados por encontrarse por años a la intemperie, generando contaminación visual a las personas que habitan en los edificios aledaños, escorrentía, y no se cuenta con filtros o cunetas para recoger las aguas lluvias.</w:t>
            </w:r>
          </w:p>
        </w:tc>
        <w:tc>
          <w:tcPr>
            <w:tcW w:w="1412" w:type="dxa"/>
            <w:shd w:val="clear" w:color="000000" w:fill="FFFFFF"/>
            <w:hideMark/>
          </w:tcPr>
          <w:p w14:paraId="6B2F08E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 de gestión en las labores de control a cargo de la entidad a través de la supervisión y seguimiento al Patio Único para que se mitiguen los impactos ambientales negativos.</w:t>
            </w:r>
          </w:p>
        </w:tc>
        <w:tc>
          <w:tcPr>
            <w:tcW w:w="1635" w:type="dxa"/>
            <w:shd w:val="clear" w:color="000000" w:fill="FFFFFF"/>
            <w:hideMark/>
          </w:tcPr>
          <w:p w14:paraId="5B8659A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Subdirección de Bienes y la Dirección Seccional (Asesor DSC) un plan de trabajo para la identificación del estado jurídico de los bienes.</w:t>
            </w:r>
          </w:p>
        </w:tc>
        <w:tc>
          <w:tcPr>
            <w:tcW w:w="1910" w:type="dxa"/>
            <w:shd w:val="clear" w:color="000000" w:fill="FFFFFF"/>
            <w:hideMark/>
          </w:tcPr>
          <w:p w14:paraId="1631E534" w14:textId="34892401"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Adelantar mesas de trabajo con el fin de implementar un cronograma de </w:t>
            </w:r>
            <w:r w:rsidR="00862168" w:rsidRPr="00853EB6">
              <w:rPr>
                <w:rFonts w:ascii="Arial" w:eastAsia="Times New Roman" w:hAnsi="Arial" w:cs="Arial"/>
                <w:sz w:val="16"/>
                <w:szCs w:val="16"/>
                <w:lang w:eastAsia="es-CO"/>
              </w:rPr>
              <w:t>actividades</w:t>
            </w:r>
          </w:p>
        </w:tc>
        <w:tc>
          <w:tcPr>
            <w:tcW w:w="1403" w:type="dxa"/>
            <w:shd w:val="clear" w:color="000000" w:fill="FFFFFF"/>
            <w:hideMark/>
          </w:tcPr>
          <w:p w14:paraId="1332C06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Plan de trabajo y / o cronograma</w:t>
            </w:r>
          </w:p>
        </w:tc>
        <w:tc>
          <w:tcPr>
            <w:tcW w:w="692" w:type="dxa"/>
            <w:shd w:val="clear" w:color="000000" w:fill="FFFFFF"/>
            <w:hideMark/>
          </w:tcPr>
          <w:p w14:paraId="1D0AFD7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49AA88D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1/07/2021</w:t>
            </w:r>
          </w:p>
        </w:tc>
        <w:tc>
          <w:tcPr>
            <w:tcW w:w="1047" w:type="dxa"/>
            <w:shd w:val="clear" w:color="000000" w:fill="FFFFFF"/>
            <w:hideMark/>
          </w:tcPr>
          <w:p w14:paraId="2E51367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31/07/2021</w:t>
            </w:r>
          </w:p>
        </w:tc>
        <w:tc>
          <w:tcPr>
            <w:tcW w:w="879" w:type="dxa"/>
            <w:shd w:val="clear" w:color="000000" w:fill="FFFFFF"/>
            <w:hideMark/>
          </w:tcPr>
          <w:p w14:paraId="1EA2AACB"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617EEB8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3DC362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Se evidenció cronograma en Excel de ago-20 a jul-22, informe estratégico de apoyo a la Reg </w:t>
            </w:r>
            <w:proofErr w:type="spellStart"/>
            <w:r w:rsidRPr="00853EB6">
              <w:rPr>
                <w:rFonts w:ascii="Arial" w:eastAsia="Times New Roman" w:hAnsi="Arial" w:cs="Arial"/>
                <w:sz w:val="16"/>
                <w:szCs w:val="16"/>
                <w:lang w:eastAsia="es-CO"/>
              </w:rPr>
              <w:t>Norocc</w:t>
            </w:r>
            <w:proofErr w:type="spellEnd"/>
            <w:r w:rsidRPr="00853EB6">
              <w:rPr>
                <w:rFonts w:ascii="Arial" w:eastAsia="Times New Roman" w:hAnsi="Arial" w:cs="Arial"/>
                <w:sz w:val="16"/>
                <w:szCs w:val="16"/>
                <w:lang w:eastAsia="es-CO"/>
              </w:rPr>
              <w:t xml:space="preserve"> del 03-8-21 indicando acciones, y las siguientes resoluciones de descongestión que ordenan baja para destrucción de automotores dejados a disposición del FEAB, así: No. 000809 del 20-9-21 (75) automotores y No. 000690 del 23-8-21 (87) automotores, los cuales ya fueron chatarrizados en 2021.</w:t>
            </w:r>
          </w:p>
        </w:tc>
      </w:tr>
      <w:tr w:rsidR="00853EB6" w:rsidRPr="00853EB6" w14:paraId="0F355AB0" w14:textId="77777777" w:rsidTr="00853EB6">
        <w:trPr>
          <w:trHeight w:val="2295"/>
        </w:trPr>
        <w:tc>
          <w:tcPr>
            <w:tcW w:w="2684" w:type="dxa"/>
            <w:shd w:val="clear" w:color="000000" w:fill="FFFFFF"/>
            <w:vAlign w:val="center"/>
            <w:hideMark/>
          </w:tcPr>
          <w:p w14:paraId="14561B7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No.29. Impacto ambiental en el patio único.</w:t>
            </w:r>
            <w:r w:rsidRPr="00853EB6">
              <w:rPr>
                <w:rFonts w:ascii="Arial" w:eastAsia="Times New Roman" w:hAnsi="Arial" w:cs="Arial"/>
                <w:sz w:val="16"/>
                <w:szCs w:val="16"/>
                <w:lang w:eastAsia="es-CO"/>
              </w:rPr>
              <w:t xml:space="preserve"> En el Patio Único se observaron todo tipo de automotores deteriorados y oxidados por encontrarse por años a la intemperie, generando contaminación visual a las personas que habitan en los edificios aledaños, escorrentía, y no se cuenta con filtros o cunetas para recoger las aguas lluvias.</w:t>
            </w:r>
          </w:p>
        </w:tc>
        <w:tc>
          <w:tcPr>
            <w:tcW w:w="1412" w:type="dxa"/>
            <w:shd w:val="clear" w:color="000000" w:fill="FFFFFF"/>
            <w:hideMark/>
          </w:tcPr>
          <w:p w14:paraId="466886B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 de gestión en las labores de control a cargo de la entidad a través de la supervisión y seguimiento al Patio Único para que se mitiguen los impactos ambientales negativos.</w:t>
            </w:r>
          </w:p>
        </w:tc>
        <w:tc>
          <w:tcPr>
            <w:tcW w:w="1635" w:type="dxa"/>
            <w:shd w:val="clear" w:color="000000" w:fill="FFFFFF"/>
            <w:hideMark/>
          </w:tcPr>
          <w:p w14:paraId="3602646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Subdirección de Bienes y la Dirección Seccional (Asesor DSC) un plan de trabajo para la identificación del estado jurídico de los bienes.</w:t>
            </w:r>
          </w:p>
        </w:tc>
        <w:tc>
          <w:tcPr>
            <w:tcW w:w="1910" w:type="dxa"/>
            <w:shd w:val="clear" w:color="000000" w:fill="FFFFFF"/>
            <w:hideMark/>
          </w:tcPr>
          <w:p w14:paraId="1BDD38D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Informe bimestral de avance de actividades </w:t>
            </w:r>
          </w:p>
        </w:tc>
        <w:tc>
          <w:tcPr>
            <w:tcW w:w="1403" w:type="dxa"/>
            <w:shd w:val="clear" w:color="000000" w:fill="FFFFFF"/>
            <w:hideMark/>
          </w:tcPr>
          <w:p w14:paraId="10D9F1E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avance</w:t>
            </w:r>
          </w:p>
        </w:tc>
        <w:tc>
          <w:tcPr>
            <w:tcW w:w="692" w:type="dxa"/>
            <w:shd w:val="clear" w:color="000000" w:fill="FFFFFF"/>
            <w:hideMark/>
          </w:tcPr>
          <w:p w14:paraId="142249C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0274C10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2/08/2021</w:t>
            </w:r>
          </w:p>
        </w:tc>
        <w:tc>
          <w:tcPr>
            <w:tcW w:w="1047" w:type="dxa"/>
            <w:shd w:val="clear" w:color="000000" w:fill="FFFFFF"/>
            <w:hideMark/>
          </w:tcPr>
          <w:p w14:paraId="541E787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29/07/2022</w:t>
            </w:r>
          </w:p>
        </w:tc>
        <w:tc>
          <w:tcPr>
            <w:tcW w:w="879" w:type="dxa"/>
            <w:shd w:val="clear" w:color="000000" w:fill="FFFFFF"/>
            <w:hideMark/>
          </w:tcPr>
          <w:p w14:paraId="41EB28EE"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758E01B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00F1F6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1) </w:t>
            </w:r>
            <w:proofErr w:type="spellStart"/>
            <w:r w:rsidRPr="00853EB6">
              <w:rPr>
                <w:rFonts w:ascii="Arial" w:eastAsia="Times New Roman" w:hAnsi="Arial" w:cs="Arial"/>
                <w:sz w:val="16"/>
                <w:szCs w:val="16"/>
                <w:lang w:eastAsia="es-CO"/>
              </w:rPr>
              <w:t>Inf</w:t>
            </w:r>
            <w:proofErr w:type="spellEnd"/>
            <w:r w:rsidRPr="00853EB6">
              <w:rPr>
                <w:rFonts w:ascii="Arial" w:eastAsia="Times New Roman" w:hAnsi="Arial" w:cs="Arial"/>
                <w:sz w:val="16"/>
                <w:szCs w:val="16"/>
                <w:lang w:eastAsia="es-CO"/>
              </w:rPr>
              <w:t xml:space="preserve">. del 31-08-2022, </w:t>
            </w:r>
            <w:proofErr w:type="spellStart"/>
            <w:r w:rsidRPr="00853EB6">
              <w:rPr>
                <w:rFonts w:ascii="Arial" w:eastAsia="Times New Roman" w:hAnsi="Arial" w:cs="Arial"/>
                <w:sz w:val="16"/>
                <w:szCs w:val="16"/>
                <w:lang w:eastAsia="es-CO"/>
              </w:rPr>
              <w:t>activ</w:t>
            </w:r>
            <w:proofErr w:type="spellEnd"/>
            <w:r w:rsidRPr="00853EB6">
              <w:rPr>
                <w:rFonts w:ascii="Arial" w:eastAsia="Times New Roman" w:hAnsi="Arial" w:cs="Arial"/>
                <w:sz w:val="16"/>
                <w:szCs w:val="16"/>
                <w:lang w:eastAsia="es-CO"/>
              </w:rPr>
              <w:t xml:space="preserve">. Realizadas por el FEAB, Res 000063 del 06-06-2022 </w:t>
            </w:r>
            <w:proofErr w:type="spellStart"/>
            <w:r w:rsidRPr="00853EB6">
              <w:rPr>
                <w:rFonts w:ascii="Arial" w:eastAsia="Times New Roman" w:hAnsi="Arial" w:cs="Arial"/>
                <w:sz w:val="16"/>
                <w:szCs w:val="16"/>
                <w:lang w:eastAsia="es-CO"/>
              </w:rPr>
              <w:t>chatarrizaciòn</w:t>
            </w:r>
            <w:proofErr w:type="spellEnd"/>
            <w:r w:rsidRPr="00853EB6">
              <w:rPr>
                <w:rFonts w:ascii="Arial" w:eastAsia="Times New Roman" w:hAnsi="Arial" w:cs="Arial"/>
                <w:sz w:val="16"/>
                <w:szCs w:val="16"/>
                <w:lang w:eastAsia="es-CO"/>
              </w:rPr>
              <w:t xml:space="preserve">  5 autopartes.</w:t>
            </w:r>
            <w:r w:rsidRPr="00853EB6">
              <w:rPr>
                <w:rFonts w:ascii="Arial" w:eastAsia="Times New Roman" w:hAnsi="Arial" w:cs="Arial"/>
                <w:sz w:val="16"/>
                <w:szCs w:val="16"/>
                <w:lang w:eastAsia="es-CO"/>
              </w:rPr>
              <w:br/>
              <w:t xml:space="preserve">2) </w:t>
            </w:r>
            <w:proofErr w:type="spellStart"/>
            <w:r w:rsidRPr="00853EB6">
              <w:rPr>
                <w:rFonts w:ascii="Arial" w:eastAsia="Times New Roman" w:hAnsi="Arial" w:cs="Arial"/>
                <w:sz w:val="16"/>
                <w:szCs w:val="16"/>
                <w:lang w:eastAsia="es-CO"/>
              </w:rPr>
              <w:t>Inf</w:t>
            </w:r>
            <w:proofErr w:type="spellEnd"/>
            <w:r w:rsidRPr="00853EB6">
              <w:rPr>
                <w:rFonts w:ascii="Arial" w:eastAsia="Times New Roman" w:hAnsi="Arial" w:cs="Arial"/>
                <w:sz w:val="16"/>
                <w:szCs w:val="16"/>
                <w:lang w:eastAsia="es-CO"/>
              </w:rPr>
              <w:t xml:space="preserve">. del 30-09-2022 - </w:t>
            </w:r>
            <w:proofErr w:type="spellStart"/>
            <w:r w:rsidRPr="00853EB6">
              <w:rPr>
                <w:rFonts w:ascii="Arial" w:eastAsia="Times New Roman" w:hAnsi="Arial" w:cs="Arial"/>
                <w:sz w:val="16"/>
                <w:szCs w:val="16"/>
                <w:lang w:eastAsia="es-CO"/>
              </w:rPr>
              <w:t>Decl</w:t>
            </w:r>
            <w:proofErr w:type="spellEnd"/>
            <w:r w:rsidRPr="00853EB6">
              <w:rPr>
                <w:rFonts w:ascii="Arial" w:eastAsia="Times New Roman" w:hAnsi="Arial" w:cs="Arial"/>
                <w:sz w:val="16"/>
                <w:szCs w:val="16"/>
                <w:lang w:eastAsia="es-CO"/>
              </w:rPr>
              <w:t xml:space="preserve">. Abandono Res 00117/12-09-2022, 46 </w:t>
            </w:r>
            <w:proofErr w:type="spellStart"/>
            <w:r w:rsidRPr="00853EB6">
              <w:rPr>
                <w:rFonts w:ascii="Arial" w:eastAsia="Times New Roman" w:hAnsi="Arial" w:cs="Arial"/>
                <w:sz w:val="16"/>
                <w:szCs w:val="16"/>
                <w:lang w:eastAsia="es-CO"/>
              </w:rPr>
              <w:t>aut</w:t>
            </w:r>
            <w:proofErr w:type="spellEnd"/>
            <w:r w:rsidRPr="00853EB6">
              <w:rPr>
                <w:rFonts w:ascii="Arial" w:eastAsia="Times New Roman" w:hAnsi="Arial" w:cs="Arial"/>
                <w:sz w:val="16"/>
                <w:szCs w:val="16"/>
                <w:lang w:eastAsia="es-CO"/>
              </w:rPr>
              <w:t xml:space="preserve">. Res 000122 del 15-09-2022. 11 </w:t>
            </w:r>
            <w:proofErr w:type="spellStart"/>
            <w:r w:rsidRPr="00853EB6">
              <w:rPr>
                <w:rFonts w:ascii="Arial" w:eastAsia="Times New Roman" w:hAnsi="Arial" w:cs="Arial"/>
                <w:sz w:val="16"/>
                <w:szCs w:val="16"/>
                <w:lang w:eastAsia="es-CO"/>
              </w:rPr>
              <w:t>aut</w:t>
            </w:r>
            <w:proofErr w:type="spellEnd"/>
            <w:r w:rsidRPr="00853EB6">
              <w:rPr>
                <w:rFonts w:ascii="Arial" w:eastAsia="Times New Roman" w:hAnsi="Arial" w:cs="Arial"/>
                <w:sz w:val="16"/>
                <w:szCs w:val="16"/>
                <w:lang w:eastAsia="es-CO"/>
              </w:rPr>
              <w:t xml:space="preserve">. Res 000135 del 30/09/2022, 1 automotor. </w:t>
            </w:r>
            <w:r w:rsidRPr="00853EB6">
              <w:rPr>
                <w:rFonts w:ascii="Arial" w:eastAsia="Times New Roman" w:hAnsi="Arial" w:cs="Arial"/>
                <w:sz w:val="16"/>
                <w:szCs w:val="16"/>
                <w:lang w:eastAsia="es-CO"/>
              </w:rPr>
              <w:br/>
              <w:t xml:space="preserve">Lo anterior se </w:t>
            </w:r>
            <w:proofErr w:type="spellStart"/>
            <w:r w:rsidRPr="00853EB6">
              <w:rPr>
                <w:rFonts w:ascii="Arial" w:eastAsia="Times New Roman" w:hAnsi="Arial" w:cs="Arial"/>
                <w:sz w:val="16"/>
                <w:szCs w:val="16"/>
                <w:lang w:eastAsia="es-CO"/>
              </w:rPr>
              <w:t>publico</w:t>
            </w:r>
            <w:proofErr w:type="spellEnd"/>
            <w:r w:rsidRPr="00853EB6">
              <w:rPr>
                <w:rFonts w:ascii="Arial" w:eastAsia="Times New Roman" w:hAnsi="Arial" w:cs="Arial"/>
                <w:sz w:val="16"/>
                <w:szCs w:val="16"/>
                <w:lang w:eastAsia="es-CO"/>
              </w:rPr>
              <w:t xml:space="preserve"> en cartelera y </w:t>
            </w:r>
            <w:proofErr w:type="spellStart"/>
            <w:r w:rsidRPr="00853EB6">
              <w:rPr>
                <w:rFonts w:ascii="Arial" w:eastAsia="Times New Roman" w:hAnsi="Arial" w:cs="Arial"/>
                <w:sz w:val="16"/>
                <w:szCs w:val="16"/>
                <w:lang w:eastAsia="es-CO"/>
              </w:rPr>
              <w:t>pag.</w:t>
            </w:r>
            <w:proofErr w:type="spellEnd"/>
            <w:r w:rsidRPr="00853EB6">
              <w:rPr>
                <w:rFonts w:ascii="Arial" w:eastAsia="Times New Roman" w:hAnsi="Arial" w:cs="Arial"/>
                <w:sz w:val="16"/>
                <w:szCs w:val="16"/>
                <w:lang w:eastAsia="es-CO"/>
              </w:rPr>
              <w:t xml:space="preserve"> web.</w:t>
            </w:r>
          </w:p>
        </w:tc>
      </w:tr>
      <w:tr w:rsidR="00853EB6" w:rsidRPr="00853EB6" w14:paraId="5710E2A5" w14:textId="77777777" w:rsidTr="00853EB6">
        <w:trPr>
          <w:trHeight w:val="2805"/>
        </w:trPr>
        <w:tc>
          <w:tcPr>
            <w:tcW w:w="2684" w:type="dxa"/>
            <w:shd w:val="clear" w:color="000000" w:fill="FFFFFF"/>
            <w:vAlign w:val="center"/>
            <w:hideMark/>
          </w:tcPr>
          <w:p w14:paraId="3CFD7B4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 xml:space="preserve">No.30. Uso de parqueaderos de las instalaciones de la FGN - Bunker. </w:t>
            </w:r>
            <w:r w:rsidRPr="00853EB6">
              <w:rPr>
                <w:rFonts w:ascii="Arial" w:eastAsia="Times New Roman" w:hAnsi="Arial" w:cs="Arial"/>
                <w:sz w:val="16"/>
                <w:szCs w:val="16"/>
                <w:lang w:eastAsia="es-CO"/>
              </w:rPr>
              <w:t>Durante inspección realizada el día 17 de marzo del 2021 a las instalaciones del Bunker de la FGN en Medellín, se evidenció que, en uno de los parqueaderos, se tienen retenidos como evidencia de algunos procesos penales, veinticinco (25) motos de las cuales 4 no registraban placas y once (11) vehículos automotores.</w:t>
            </w:r>
          </w:p>
        </w:tc>
        <w:tc>
          <w:tcPr>
            <w:tcW w:w="1412" w:type="dxa"/>
            <w:shd w:val="clear" w:color="000000" w:fill="FFFFFF"/>
            <w:hideMark/>
          </w:tcPr>
          <w:p w14:paraId="636FBC9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 de control y seguimiento al no darse aplicación a lo dispuesto en la normatividad vigente, que fijan las políticas de administración, manejo y disposición de dichos bienes.</w:t>
            </w:r>
          </w:p>
        </w:tc>
        <w:tc>
          <w:tcPr>
            <w:tcW w:w="1635" w:type="dxa"/>
            <w:shd w:val="clear" w:color="000000" w:fill="FFFFFF"/>
            <w:hideMark/>
          </w:tcPr>
          <w:p w14:paraId="7150CA0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Visitar los diferentes parqueaderos de las sedes de la FGN para identificar si existen automotores vinculados a procesos penales para solicitar su reubicación</w:t>
            </w:r>
          </w:p>
        </w:tc>
        <w:tc>
          <w:tcPr>
            <w:tcW w:w="1910" w:type="dxa"/>
            <w:shd w:val="clear" w:color="000000" w:fill="FFFFFF"/>
            <w:hideMark/>
          </w:tcPr>
          <w:p w14:paraId="5B3D08D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Coordinar con la Dirección Seccional (Asesor DSC) un plan de trabajo para la identificación del estado jurídico de los bienes.</w:t>
            </w:r>
          </w:p>
        </w:tc>
        <w:tc>
          <w:tcPr>
            <w:tcW w:w="1403" w:type="dxa"/>
            <w:shd w:val="clear" w:color="000000" w:fill="FFFFFF"/>
            <w:hideMark/>
          </w:tcPr>
          <w:p w14:paraId="4F8A2E2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avance</w:t>
            </w:r>
          </w:p>
        </w:tc>
        <w:tc>
          <w:tcPr>
            <w:tcW w:w="692" w:type="dxa"/>
            <w:shd w:val="clear" w:color="000000" w:fill="FFFFFF"/>
            <w:hideMark/>
          </w:tcPr>
          <w:p w14:paraId="031856A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57C1BE2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1/07/2021</w:t>
            </w:r>
          </w:p>
        </w:tc>
        <w:tc>
          <w:tcPr>
            <w:tcW w:w="1047" w:type="dxa"/>
            <w:shd w:val="clear" w:color="000000" w:fill="FFFFFF"/>
            <w:hideMark/>
          </w:tcPr>
          <w:p w14:paraId="3EA9BF4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31/12/2021</w:t>
            </w:r>
          </w:p>
        </w:tc>
        <w:tc>
          <w:tcPr>
            <w:tcW w:w="879" w:type="dxa"/>
            <w:shd w:val="clear" w:color="000000" w:fill="FFFFFF"/>
            <w:hideMark/>
          </w:tcPr>
          <w:p w14:paraId="21A07C89"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24D6489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09DF6C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30-6-22 Se evidenció: 1) Informe a abril/2022, informan recibo oficio 20440-02-083 de Asesora III Sección Policía Judicial CTI </w:t>
            </w:r>
            <w:proofErr w:type="spellStart"/>
            <w:r w:rsidRPr="00853EB6">
              <w:rPr>
                <w:rFonts w:ascii="Arial" w:eastAsia="Times New Roman" w:hAnsi="Arial" w:cs="Arial"/>
                <w:sz w:val="16"/>
                <w:szCs w:val="16"/>
                <w:lang w:eastAsia="es-CO"/>
              </w:rPr>
              <w:t>Mllín</w:t>
            </w:r>
            <w:proofErr w:type="spellEnd"/>
            <w:r w:rsidRPr="00853EB6">
              <w:rPr>
                <w:rFonts w:ascii="Arial" w:eastAsia="Times New Roman" w:hAnsi="Arial" w:cs="Arial"/>
                <w:sz w:val="16"/>
                <w:szCs w:val="16"/>
                <w:lang w:eastAsia="es-CO"/>
              </w:rPr>
              <w:t xml:space="preserve">, informando situación jurídica rodantes parqueadero sur sede </w:t>
            </w:r>
            <w:proofErr w:type="spellStart"/>
            <w:r w:rsidRPr="00853EB6">
              <w:rPr>
                <w:rFonts w:ascii="Arial" w:eastAsia="Times New Roman" w:hAnsi="Arial" w:cs="Arial"/>
                <w:sz w:val="16"/>
                <w:szCs w:val="16"/>
                <w:lang w:eastAsia="es-CO"/>
              </w:rPr>
              <w:t>ppal</w:t>
            </w:r>
            <w:proofErr w:type="spellEnd"/>
            <w:r w:rsidRPr="00853EB6">
              <w:rPr>
                <w:rFonts w:ascii="Arial" w:eastAsia="Times New Roman" w:hAnsi="Arial" w:cs="Arial"/>
                <w:sz w:val="16"/>
                <w:szCs w:val="16"/>
                <w:lang w:eastAsia="es-CO"/>
              </w:rPr>
              <w:t xml:space="preserve"> caribe para que los fiscales soliciten traslado patio único; 2) Informe a junio/2022, informan traslado a patio único 7, 1 devuelto propietario y 3 a{un pendientes autorización fiscal.</w:t>
            </w:r>
          </w:p>
        </w:tc>
      </w:tr>
      <w:tr w:rsidR="00853EB6" w:rsidRPr="00853EB6" w14:paraId="32274441" w14:textId="77777777" w:rsidTr="00853EB6">
        <w:trPr>
          <w:trHeight w:val="1920"/>
        </w:trPr>
        <w:tc>
          <w:tcPr>
            <w:tcW w:w="2684" w:type="dxa"/>
            <w:shd w:val="clear" w:color="000000" w:fill="FFFFFF"/>
            <w:vAlign w:val="center"/>
            <w:hideMark/>
          </w:tcPr>
          <w:p w14:paraId="0159E36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 31. Diseño y construcción del baño de discapacitados.</w:t>
            </w:r>
            <w:r w:rsidRPr="00853EB6">
              <w:rPr>
                <w:rFonts w:ascii="Arial" w:eastAsia="Times New Roman" w:hAnsi="Arial" w:cs="Arial"/>
                <w:sz w:val="16"/>
                <w:szCs w:val="16"/>
                <w:lang w:eastAsia="es-CO"/>
              </w:rPr>
              <w:t xml:space="preserve"> Se observaron incumplimientos de la NTC 6047, respecto a los baños para las personas en condiciones de discapacidad, Contrato FGN-RNOCC-0013 de 2021, piso 8° alpujarra.</w:t>
            </w:r>
          </w:p>
        </w:tc>
        <w:tc>
          <w:tcPr>
            <w:tcW w:w="1412" w:type="dxa"/>
            <w:shd w:val="clear" w:color="000000" w:fill="FFFFFF"/>
            <w:hideMark/>
          </w:tcPr>
          <w:p w14:paraId="7075E71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Deficiencias en la planeación, diseño y ejecución de las obras; conllevando a la omisión de los principios de eficiencia y eficacia en los procesos contractuales, así como falta de control y exigencias por parte de la supervisión del contrato.</w:t>
            </w:r>
          </w:p>
        </w:tc>
        <w:tc>
          <w:tcPr>
            <w:tcW w:w="1635" w:type="dxa"/>
            <w:shd w:val="clear" w:color="000000" w:fill="FFFFFF"/>
            <w:hideMark/>
          </w:tcPr>
          <w:p w14:paraId="6EF1899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Visitar los baños de las sedes de la Regional para personas con discapacidad con el fin de identificar si cumplen con la NTC 6047</w:t>
            </w:r>
          </w:p>
        </w:tc>
        <w:tc>
          <w:tcPr>
            <w:tcW w:w="1910" w:type="dxa"/>
            <w:shd w:val="clear" w:color="000000" w:fill="FFFFFF"/>
            <w:hideMark/>
          </w:tcPr>
          <w:p w14:paraId="69E32ED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Elaborar informe del estado actual de los baños de las sedes con recomendaciones de mejora</w:t>
            </w:r>
          </w:p>
        </w:tc>
        <w:tc>
          <w:tcPr>
            <w:tcW w:w="1403" w:type="dxa"/>
            <w:shd w:val="clear" w:color="000000" w:fill="FFFFFF"/>
            <w:hideMark/>
          </w:tcPr>
          <w:p w14:paraId="4B8854A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w:t>
            </w:r>
          </w:p>
        </w:tc>
        <w:tc>
          <w:tcPr>
            <w:tcW w:w="692" w:type="dxa"/>
            <w:shd w:val="clear" w:color="000000" w:fill="FFFFFF"/>
            <w:hideMark/>
          </w:tcPr>
          <w:p w14:paraId="4823879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16169E2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1/07/2021</w:t>
            </w:r>
          </w:p>
        </w:tc>
        <w:tc>
          <w:tcPr>
            <w:tcW w:w="1047" w:type="dxa"/>
            <w:shd w:val="clear" w:color="000000" w:fill="FFFFFF"/>
            <w:hideMark/>
          </w:tcPr>
          <w:p w14:paraId="7CBE0B4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1/10/2021</w:t>
            </w:r>
          </w:p>
        </w:tc>
        <w:tc>
          <w:tcPr>
            <w:tcW w:w="879" w:type="dxa"/>
            <w:shd w:val="clear" w:color="000000" w:fill="FFFFFF"/>
            <w:hideMark/>
          </w:tcPr>
          <w:p w14:paraId="578A8F08"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799E012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27CE588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31-12-2021 Se evidenció informe de fecha 15-10-2021 elaborado por el arquitecto de la Subdirección Regional que contiene el estado de las unidades sanitarias para discapacitados de las sedes de Alpujarra - Piso 8 se adelantó mejora puerta, Caribe - CAF cumple requisitos y Montecarlo en Envigado con recomendaciones para mejoras en lavamanos.</w:t>
            </w:r>
          </w:p>
        </w:tc>
      </w:tr>
      <w:tr w:rsidR="00853EB6" w:rsidRPr="00853EB6" w14:paraId="3343B49A" w14:textId="77777777" w:rsidTr="00862168">
        <w:trPr>
          <w:trHeight w:val="65"/>
        </w:trPr>
        <w:tc>
          <w:tcPr>
            <w:tcW w:w="2684" w:type="dxa"/>
            <w:shd w:val="clear" w:color="000000" w:fill="FFFFFF"/>
            <w:vAlign w:val="center"/>
            <w:hideMark/>
          </w:tcPr>
          <w:p w14:paraId="0E9291D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No.32. Obras no previstas CN obra N° FGN- RNOCC-00013-2020.</w:t>
            </w:r>
            <w:r w:rsidRPr="00853EB6">
              <w:rPr>
                <w:rFonts w:ascii="Arial" w:eastAsia="Times New Roman" w:hAnsi="Arial" w:cs="Arial"/>
                <w:sz w:val="16"/>
                <w:szCs w:val="16"/>
                <w:lang w:eastAsia="es-CO"/>
              </w:rPr>
              <w:t xml:space="preserve"> En la ejecución del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con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xml:space="preserve">- inicial de $46.473.607, se adicionó en $14.292.694 por actividades no contempladas en estudios previos de adecuación y reforma física de un espacio para baño público para personas con discapacidad, conllevando al cambio de las condiciones iniciales, y a un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final de $60.766.301.</w:t>
            </w:r>
          </w:p>
        </w:tc>
        <w:tc>
          <w:tcPr>
            <w:tcW w:w="1412" w:type="dxa"/>
            <w:shd w:val="clear" w:color="000000" w:fill="FFFFFF"/>
            <w:hideMark/>
          </w:tcPr>
          <w:p w14:paraId="27F276E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la planeación de las obras y omisión de los principios de eficiencia, eficacia y economía en los procesos contractuales, así como falta de control y seguimiento de la supervisión del contrato.</w:t>
            </w:r>
          </w:p>
        </w:tc>
        <w:tc>
          <w:tcPr>
            <w:tcW w:w="1635" w:type="dxa"/>
            <w:shd w:val="clear" w:color="000000" w:fill="FFFFFF"/>
            <w:hideMark/>
          </w:tcPr>
          <w:p w14:paraId="626B9C7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Capacitación a los responsables de la elaboración de los estudios previos y a los supervisores designados responsables del seguimiento y control de la ejecución del contrato.</w:t>
            </w:r>
          </w:p>
        </w:tc>
        <w:tc>
          <w:tcPr>
            <w:tcW w:w="1910" w:type="dxa"/>
            <w:shd w:val="clear" w:color="000000" w:fill="FFFFFF"/>
            <w:hideMark/>
          </w:tcPr>
          <w:p w14:paraId="1835EB2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capacitación integral mediante charla presencial y/o virtual</w:t>
            </w:r>
          </w:p>
        </w:tc>
        <w:tc>
          <w:tcPr>
            <w:tcW w:w="1403" w:type="dxa"/>
            <w:shd w:val="clear" w:color="000000" w:fill="FFFFFF"/>
            <w:hideMark/>
          </w:tcPr>
          <w:p w14:paraId="678B125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Convocatorias a capacitación y registros de asistencia</w:t>
            </w:r>
          </w:p>
        </w:tc>
        <w:tc>
          <w:tcPr>
            <w:tcW w:w="692" w:type="dxa"/>
            <w:shd w:val="clear" w:color="000000" w:fill="FFFFFF"/>
            <w:hideMark/>
          </w:tcPr>
          <w:p w14:paraId="5D4C091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w:t>
            </w:r>
          </w:p>
        </w:tc>
        <w:tc>
          <w:tcPr>
            <w:tcW w:w="941" w:type="dxa"/>
            <w:shd w:val="clear" w:color="000000" w:fill="FFFFFF"/>
            <w:hideMark/>
          </w:tcPr>
          <w:p w14:paraId="4904D37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19/07/2021</w:t>
            </w:r>
          </w:p>
        </w:tc>
        <w:tc>
          <w:tcPr>
            <w:tcW w:w="1047" w:type="dxa"/>
            <w:shd w:val="clear" w:color="000000" w:fill="FFFFFF"/>
            <w:hideMark/>
          </w:tcPr>
          <w:p w14:paraId="5931C44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31/12/2021</w:t>
            </w:r>
          </w:p>
        </w:tc>
        <w:tc>
          <w:tcPr>
            <w:tcW w:w="879" w:type="dxa"/>
            <w:shd w:val="clear" w:color="000000" w:fill="FFFFFF"/>
            <w:hideMark/>
          </w:tcPr>
          <w:p w14:paraId="0224E02D"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2</w:t>
            </w:r>
          </w:p>
        </w:tc>
        <w:tc>
          <w:tcPr>
            <w:tcW w:w="959" w:type="dxa"/>
            <w:shd w:val="clear" w:color="000000" w:fill="FFFFFF"/>
            <w:hideMark/>
          </w:tcPr>
          <w:p w14:paraId="5BB8D43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D0F6933" w14:textId="356B5EF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31-12-2021 Se evidenció correo de citación a la capacitación virtual efectuada por Gestión Contractual de la Regional de fecha 18-Nov-2021 a los </w:t>
            </w:r>
            <w:r w:rsidR="00862168" w:rsidRPr="00853EB6">
              <w:rPr>
                <w:rFonts w:ascii="Arial" w:eastAsia="Times New Roman" w:hAnsi="Arial" w:cs="Arial"/>
                <w:sz w:val="16"/>
                <w:szCs w:val="16"/>
                <w:lang w:eastAsia="es-CO"/>
              </w:rPr>
              <w:t>supervisores</w:t>
            </w:r>
            <w:r w:rsidRPr="00853EB6">
              <w:rPr>
                <w:rFonts w:ascii="Arial" w:eastAsia="Times New Roman" w:hAnsi="Arial" w:cs="Arial"/>
                <w:sz w:val="16"/>
                <w:szCs w:val="16"/>
                <w:lang w:eastAsia="es-CO"/>
              </w:rPr>
              <w:t xml:space="preserve"> y el control de asistencia de la misma fecha, en la cual se trataron los siguientes temas: elaboración estudios previos y del sector, régimen de inhabilidades e </w:t>
            </w:r>
            <w:r w:rsidRPr="00853EB6">
              <w:rPr>
                <w:rFonts w:ascii="Arial" w:eastAsia="Times New Roman" w:hAnsi="Arial" w:cs="Arial"/>
                <w:sz w:val="16"/>
                <w:szCs w:val="16"/>
                <w:lang w:eastAsia="es-CO"/>
              </w:rPr>
              <w:lastRenderedPageBreak/>
              <w:t>incompatibilidades, entre otros.</w:t>
            </w:r>
          </w:p>
        </w:tc>
      </w:tr>
      <w:tr w:rsidR="00853EB6" w:rsidRPr="00853EB6" w14:paraId="775C4CAC" w14:textId="77777777" w:rsidTr="00853EB6">
        <w:trPr>
          <w:trHeight w:val="2550"/>
        </w:trPr>
        <w:tc>
          <w:tcPr>
            <w:tcW w:w="2684" w:type="dxa"/>
            <w:shd w:val="clear" w:color="000000" w:fill="FFFFFF"/>
            <w:vAlign w:val="center"/>
            <w:hideMark/>
          </w:tcPr>
          <w:p w14:paraId="332AEB1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No.33. Principio transparencia CN N° FGN-RNOCC-0024-2020.</w:t>
            </w:r>
            <w:r w:rsidRPr="00853EB6">
              <w:rPr>
                <w:rFonts w:ascii="Arial" w:eastAsia="Times New Roman" w:hAnsi="Arial" w:cs="Arial"/>
                <w:sz w:val="16"/>
                <w:szCs w:val="16"/>
                <w:lang w:eastAsia="es-CO"/>
              </w:rPr>
              <w:t xml:space="preserve"> No se discriminaron </w:t>
            </w:r>
            <w:proofErr w:type="spellStart"/>
            <w:r w:rsidRPr="00853EB6">
              <w:rPr>
                <w:rFonts w:ascii="Arial" w:eastAsia="Times New Roman" w:hAnsi="Arial" w:cs="Arial"/>
                <w:sz w:val="16"/>
                <w:szCs w:val="16"/>
                <w:lang w:eastAsia="es-CO"/>
              </w:rPr>
              <w:t>vrs</w:t>
            </w:r>
            <w:proofErr w:type="spellEnd"/>
            <w:r w:rsidRPr="00853EB6">
              <w:rPr>
                <w:rFonts w:ascii="Arial" w:eastAsia="Times New Roman" w:hAnsi="Arial" w:cs="Arial"/>
                <w:sz w:val="16"/>
                <w:szCs w:val="16"/>
                <w:lang w:eastAsia="es-CO"/>
              </w:rPr>
              <w:t>, cantidades y precios unitarios de enchapes, mesón, división de baño, espejo y elementos sanitarios con sus puntos hidráulicos, sin ser clara y transparente la información suministrada en el cuadro actividades realizadas, mostrándose como una actividad global, que contempla varios ítems a desarrollar.</w:t>
            </w:r>
          </w:p>
        </w:tc>
        <w:tc>
          <w:tcPr>
            <w:tcW w:w="1412" w:type="dxa"/>
            <w:shd w:val="clear" w:color="000000" w:fill="FFFFFF"/>
            <w:hideMark/>
          </w:tcPr>
          <w:p w14:paraId="1088FF5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Deficiencias en la supervisión mediante la aprobación al contratista de este ítem de actividades de obra, afectando con esto la transparencia de la información por cuanto no se puede realizar una revisión precisa al momento de emitir el acta de recibo final.</w:t>
            </w:r>
          </w:p>
        </w:tc>
        <w:tc>
          <w:tcPr>
            <w:tcW w:w="1635" w:type="dxa"/>
            <w:shd w:val="clear" w:color="000000" w:fill="FFFFFF"/>
            <w:hideMark/>
          </w:tcPr>
          <w:p w14:paraId="7EA4FFF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Incluir en el estudio de necesidades de los contratos de obra la discriminación de las cantidades de insumos requeridos para las intervenciones.</w:t>
            </w:r>
          </w:p>
        </w:tc>
        <w:tc>
          <w:tcPr>
            <w:tcW w:w="1910" w:type="dxa"/>
            <w:shd w:val="clear" w:color="000000" w:fill="FFFFFF"/>
            <w:hideMark/>
          </w:tcPr>
          <w:p w14:paraId="4E9327FD" w14:textId="471E428D"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Efectuar seguimiento bimestral aleatorio a los procesos contractuales de obra dónde se encuentren discriminados las cantidades y precios unitarios de los elementos utilizados en los </w:t>
            </w:r>
            <w:r w:rsidR="00862168" w:rsidRPr="00853EB6">
              <w:rPr>
                <w:rFonts w:ascii="Arial" w:eastAsia="Times New Roman" w:hAnsi="Arial" w:cs="Arial"/>
                <w:sz w:val="16"/>
                <w:szCs w:val="16"/>
                <w:lang w:eastAsia="es-CO"/>
              </w:rPr>
              <w:t>mantenimientos</w:t>
            </w:r>
            <w:r w:rsidRPr="00853EB6">
              <w:rPr>
                <w:rFonts w:ascii="Arial" w:eastAsia="Times New Roman" w:hAnsi="Arial" w:cs="Arial"/>
                <w:sz w:val="16"/>
                <w:szCs w:val="16"/>
                <w:lang w:eastAsia="es-CO"/>
              </w:rPr>
              <w:t xml:space="preserve"> locativos.</w:t>
            </w:r>
          </w:p>
        </w:tc>
        <w:tc>
          <w:tcPr>
            <w:tcW w:w="1403" w:type="dxa"/>
            <w:shd w:val="clear" w:color="000000" w:fill="FFFFFF"/>
            <w:hideMark/>
          </w:tcPr>
          <w:p w14:paraId="7E71E8A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seguimiento</w:t>
            </w:r>
          </w:p>
        </w:tc>
        <w:tc>
          <w:tcPr>
            <w:tcW w:w="692" w:type="dxa"/>
            <w:shd w:val="clear" w:color="000000" w:fill="FFFFFF"/>
            <w:hideMark/>
          </w:tcPr>
          <w:p w14:paraId="72F837E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3785408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19-jul-21</w:t>
            </w:r>
          </w:p>
        </w:tc>
        <w:tc>
          <w:tcPr>
            <w:tcW w:w="1047" w:type="dxa"/>
            <w:shd w:val="clear" w:color="000000" w:fill="FFFFFF"/>
            <w:hideMark/>
          </w:tcPr>
          <w:p w14:paraId="0E0A64E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15-jul-22</w:t>
            </w:r>
          </w:p>
        </w:tc>
        <w:tc>
          <w:tcPr>
            <w:tcW w:w="879" w:type="dxa"/>
            <w:shd w:val="clear" w:color="000000" w:fill="FFFFFF"/>
            <w:hideMark/>
          </w:tcPr>
          <w:p w14:paraId="27E28B6E"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390BB40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D2BE0C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corte 31-12-2021 Se evidenciaron informes de seguimiento del 31-10-2021y 31-12-2021 a los contratos de obra Nos. CN014 del 09-08-2021 con el Consorcio GHSMAR, CN038 del 09-12-2021 con Inversiones y Construcciones de Oriente Sociedad </w:t>
            </w:r>
            <w:proofErr w:type="spellStart"/>
            <w:r w:rsidRPr="00853EB6">
              <w:rPr>
                <w:rFonts w:ascii="Arial" w:eastAsia="Times New Roman" w:hAnsi="Arial" w:cs="Arial"/>
                <w:sz w:val="16"/>
                <w:szCs w:val="16"/>
                <w:lang w:eastAsia="es-CO"/>
              </w:rPr>
              <w:t>Ltda</w:t>
            </w:r>
            <w:proofErr w:type="spellEnd"/>
            <w:r w:rsidRPr="00853EB6">
              <w:rPr>
                <w:rFonts w:ascii="Arial" w:eastAsia="Times New Roman" w:hAnsi="Arial" w:cs="Arial"/>
                <w:sz w:val="16"/>
                <w:szCs w:val="16"/>
                <w:lang w:eastAsia="es-CO"/>
              </w:rPr>
              <w:t>; CN022 del 15-08-2021con SIPCO SAS, verificando las actividades, precios unitarios y cantidades de obra, detallados.</w:t>
            </w:r>
          </w:p>
        </w:tc>
      </w:tr>
      <w:tr w:rsidR="00853EB6" w:rsidRPr="00853EB6" w14:paraId="7082D51C" w14:textId="77777777" w:rsidTr="00853EB6">
        <w:trPr>
          <w:trHeight w:val="2295"/>
        </w:trPr>
        <w:tc>
          <w:tcPr>
            <w:tcW w:w="2684" w:type="dxa"/>
            <w:shd w:val="clear" w:color="000000" w:fill="FFFFFF"/>
            <w:vAlign w:val="center"/>
            <w:hideMark/>
          </w:tcPr>
          <w:p w14:paraId="01B94BB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 xml:space="preserve">No.34. Supervisión e </w:t>
            </w:r>
            <w:proofErr w:type="spellStart"/>
            <w:r w:rsidRPr="00853EB6">
              <w:rPr>
                <w:rFonts w:ascii="Arial" w:eastAsia="Times New Roman" w:hAnsi="Arial" w:cs="Arial"/>
                <w:b/>
                <w:bCs/>
                <w:sz w:val="16"/>
                <w:szCs w:val="16"/>
                <w:lang w:eastAsia="es-CO"/>
              </w:rPr>
              <w:t>interventoria</w:t>
            </w:r>
            <w:proofErr w:type="spellEnd"/>
            <w:r w:rsidRPr="00853EB6">
              <w:rPr>
                <w:rFonts w:ascii="Arial" w:eastAsia="Times New Roman" w:hAnsi="Arial" w:cs="Arial"/>
                <w:b/>
                <w:bCs/>
                <w:sz w:val="16"/>
                <w:szCs w:val="16"/>
                <w:lang w:eastAsia="es-CO"/>
              </w:rPr>
              <w:t xml:space="preserve"> CN </w:t>
            </w:r>
            <w:proofErr w:type="spellStart"/>
            <w:r w:rsidRPr="00853EB6">
              <w:rPr>
                <w:rFonts w:ascii="Arial" w:eastAsia="Times New Roman" w:hAnsi="Arial" w:cs="Arial"/>
                <w:b/>
                <w:bCs/>
                <w:sz w:val="16"/>
                <w:szCs w:val="16"/>
                <w:lang w:eastAsia="es-CO"/>
              </w:rPr>
              <w:t>Nros</w:t>
            </w:r>
            <w:proofErr w:type="spellEnd"/>
            <w:r w:rsidRPr="00853EB6">
              <w:rPr>
                <w:rFonts w:ascii="Arial" w:eastAsia="Times New Roman" w:hAnsi="Arial" w:cs="Arial"/>
                <w:b/>
                <w:bCs/>
                <w:sz w:val="16"/>
                <w:szCs w:val="16"/>
                <w:lang w:eastAsia="es-CO"/>
              </w:rPr>
              <w:t>. FGN- RNOCC-00013, 0024 y 0025 de 2020 (IP).</w:t>
            </w:r>
            <w:r w:rsidRPr="00853EB6">
              <w:rPr>
                <w:rFonts w:ascii="Arial" w:eastAsia="Times New Roman" w:hAnsi="Arial" w:cs="Arial"/>
                <w:sz w:val="16"/>
                <w:szCs w:val="16"/>
                <w:lang w:eastAsia="es-CO"/>
              </w:rPr>
              <w:t xml:space="preserve"> En los informes de supervisión no se observaron deficiencias respecto a los malos acabados e inadecuado funcionamiento de los aparatos sanitarios, situaciones que afectan la calidad de la obra de cada contrato.</w:t>
            </w:r>
          </w:p>
        </w:tc>
        <w:tc>
          <w:tcPr>
            <w:tcW w:w="1412" w:type="dxa"/>
            <w:shd w:val="clear" w:color="000000" w:fill="FFFFFF"/>
            <w:hideMark/>
          </w:tcPr>
          <w:p w14:paraId="3C99E90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Deficiencias en las labores de control a cargo de la entidad y de la supervisión de los contratos.</w:t>
            </w:r>
          </w:p>
        </w:tc>
        <w:tc>
          <w:tcPr>
            <w:tcW w:w="1635" w:type="dxa"/>
            <w:shd w:val="clear" w:color="000000" w:fill="FFFFFF"/>
            <w:hideMark/>
          </w:tcPr>
          <w:p w14:paraId="0000035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Requerir a la empresa </w:t>
            </w:r>
            <w:proofErr w:type="spellStart"/>
            <w:r w:rsidRPr="00853EB6">
              <w:rPr>
                <w:rFonts w:ascii="Arial" w:eastAsia="Times New Roman" w:hAnsi="Arial" w:cs="Arial"/>
                <w:sz w:val="16"/>
                <w:szCs w:val="16"/>
                <w:lang w:eastAsia="es-CO"/>
              </w:rPr>
              <w:t>Proymaar</w:t>
            </w:r>
            <w:proofErr w:type="spellEnd"/>
            <w:r w:rsidRPr="00853EB6">
              <w:rPr>
                <w:rFonts w:ascii="Arial" w:eastAsia="Times New Roman" w:hAnsi="Arial" w:cs="Arial"/>
                <w:sz w:val="16"/>
                <w:szCs w:val="16"/>
                <w:lang w:eastAsia="es-CO"/>
              </w:rPr>
              <w:t xml:space="preserve"> SAS, responsable del contrato FGN-RNOCC- 00013-2020 las garantías de obra con el fin de corregir deficiencias.</w:t>
            </w:r>
          </w:p>
        </w:tc>
        <w:tc>
          <w:tcPr>
            <w:tcW w:w="1910" w:type="dxa"/>
            <w:shd w:val="clear" w:color="000000" w:fill="FFFFFF"/>
            <w:hideMark/>
          </w:tcPr>
          <w:p w14:paraId="053AF51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seguimiento y control a las obligaciones contractuales y garantías.</w:t>
            </w:r>
          </w:p>
        </w:tc>
        <w:tc>
          <w:tcPr>
            <w:tcW w:w="1403" w:type="dxa"/>
            <w:shd w:val="clear" w:color="000000" w:fill="FFFFFF"/>
            <w:hideMark/>
          </w:tcPr>
          <w:p w14:paraId="41D97AE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acciones adelantadas</w:t>
            </w:r>
          </w:p>
        </w:tc>
        <w:tc>
          <w:tcPr>
            <w:tcW w:w="692" w:type="dxa"/>
            <w:shd w:val="clear" w:color="000000" w:fill="FFFFFF"/>
            <w:hideMark/>
          </w:tcPr>
          <w:p w14:paraId="4F4CB9F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4D86647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19-jul-21</w:t>
            </w:r>
          </w:p>
        </w:tc>
        <w:tc>
          <w:tcPr>
            <w:tcW w:w="1047" w:type="dxa"/>
            <w:shd w:val="clear" w:color="000000" w:fill="FFFFFF"/>
            <w:hideMark/>
          </w:tcPr>
          <w:p w14:paraId="37C7E94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1/10/2021</w:t>
            </w:r>
          </w:p>
        </w:tc>
        <w:tc>
          <w:tcPr>
            <w:tcW w:w="879" w:type="dxa"/>
            <w:shd w:val="clear" w:color="000000" w:fill="FFFFFF"/>
            <w:hideMark/>
          </w:tcPr>
          <w:p w14:paraId="15E0913A"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6330105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F14801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Se evidenció informe resumen sin fecha realizado el Arq. Reg que contiene los requerimientos efectuados x los contratos referenciados del hallazgo sobre garantías en la ejecución y las acciones adelantadas con ocasión de las solicitudes efectuadas, acompañado de las actas de recibo de la ejecución de las garantías, registros fotográficos de lo ejecutado y oficios remitidos.</w:t>
            </w:r>
          </w:p>
        </w:tc>
      </w:tr>
      <w:tr w:rsidR="00853EB6" w:rsidRPr="00853EB6" w14:paraId="217AF477" w14:textId="77777777" w:rsidTr="00853EB6">
        <w:trPr>
          <w:trHeight w:val="2805"/>
        </w:trPr>
        <w:tc>
          <w:tcPr>
            <w:tcW w:w="2684" w:type="dxa"/>
            <w:shd w:val="clear" w:color="000000" w:fill="FFFFFF"/>
            <w:vAlign w:val="center"/>
            <w:hideMark/>
          </w:tcPr>
          <w:p w14:paraId="65F47093" w14:textId="361A7FCC"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No.35. Supervisión e interventoría.</w:t>
            </w:r>
            <w:r w:rsidRPr="00853EB6">
              <w:rPr>
                <w:rFonts w:ascii="Arial" w:eastAsia="Times New Roman" w:hAnsi="Arial" w:cs="Arial"/>
                <w:sz w:val="16"/>
                <w:szCs w:val="16"/>
                <w:lang w:eastAsia="es-CO"/>
              </w:rPr>
              <w:t xml:space="preserve"> En los contratos de arrendamiento </w:t>
            </w:r>
            <w:r w:rsidR="00862168" w:rsidRPr="00853EB6">
              <w:rPr>
                <w:rFonts w:ascii="Arial" w:eastAsia="Times New Roman" w:hAnsi="Arial" w:cs="Arial"/>
                <w:sz w:val="16"/>
                <w:szCs w:val="16"/>
                <w:lang w:eastAsia="es-CO"/>
              </w:rPr>
              <w:t>revisados</w:t>
            </w:r>
            <w:r w:rsidRPr="00853EB6">
              <w:rPr>
                <w:rFonts w:ascii="Arial" w:eastAsia="Times New Roman" w:hAnsi="Arial" w:cs="Arial"/>
                <w:sz w:val="16"/>
                <w:szCs w:val="16"/>
                <w:lang w:eastAsia="es-CO"/>
              </w:rPr>
              <w:t xml:space="preserve"> se evidenciaron deficiencias respecto a: 1 Los días en el plazo de ejecución no concuerdan, frente al SECOP; 2 No se elaboraron los informes mensuales y finales y no fueron publicados en el SECOP, y 3 El acta de inicio de cada contrato registra el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xml:space="preserve"> en número de manera correcta y otro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xml:space="preserve"> en letra.</w:t>
            </w:r>
          </w:p>
        </w:tc>
        <w:tc>
          <w:tcPr>
            <w:tcW w:w="1412" w:type="dxa"/>
            <w:shd w:val="clear" w:color="000000" w:fill="FFFFFF"/>
            <w:hideMark/>
          </w:tcPr>
          <w:p w14:paraId="6D8FA85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las labores de supervisión y de los mecanismos de control interno aplicables al proceso contractual.</w:t>
            </w:r>
          </w:p>
        </w:tc>
        <w:tc>
          <w:tcPr>
            <w:tcW w:w="1635" w:type="dxa"/>
            <w:shd w:val="clear" w:color="000000" w:fill="FFFFFF"/>
            <w:hideMark/>
          </w:tcPr>
          <w:p w14:paraId="19C1C30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Capacitación a los responsables de la elaboración de los estudios previos y a los supervisores designados responsables del seguimiento y control de la ejecución del contrato.</w:t>
            </w:r>
          </w:p>
        </w:tc>
        <w:tc>
          <w:tcPr>
            <w:tcW w:w="1910" w:type="dxa"/>
            <w:shd w:val="clear" w:color="000000" w:fill="FFFFFF"/>
            <w:hideMark/>
          </w:tcPr>
          <w:p w14:paraId="42C9C5B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capacitación integral mediante charla presencial y/o virtual</w:t>
            </w:r>
          </w:p>
        </w:tc>
        <w:tc>
          <w:tcPr>
            <w:tcW w:w="1403" w:type="dxa"/>
            <w:shd w:val="clear" w:color="000000" w:fill="FFFFFF"/>
            <w:hideMark/>
          </w:tcPr>
          <w:p w14:paraId="51B412F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Convocatorias a capacitación y registros de asistencia</w:t>
            </w:r>
          </w:p>
        </w:tc>
        <w:tc>
          <w:tcPr>
            <w:tcW w:w="692" w:type="dxa"/>
            <w:shd w:val="clear" w:color="000000" w:fill="FFFFFF"/>
            <w:hideMark/>
          </w:tcPr>
          <w:p w14:paraId="0449759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w:t>
            </w:r>
          </w:p>
        </w:tc>
        <w:tc>
          <w:tcPr>
            <w:tcW w:w="941" w:type="dxa"/>
            <w:shd w:val="clear" w:color="000000" w:fill="FFFFFF"/>
            <w:hideMark/>
          </w:tcPr>
          <w:p w14:paraId="1131CBA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19/07/2021</w:t>
            </w:r>
          </w:p>
        </w:tc>
        <w:tc>
          <w:tcPr>
            <w:tcW w:w="1047" w:type="dxa"/>
            <w:shd w:val="clear" w:color="000000" w:fill="FFFFFF"/>
            <w:hideMark/>
          </w:tcPr>
          <w:p w14:paraId="3E5D667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31/12/2021</w:t>
            </w:r>
          </w:p>
        </w:tc>
        <w:tc>
          <w:tcPr>
            <w:tcW w:w="879" w:type="dxa"/>
            <w:shd w:val="clear" w:color="000000" w:fill="FFFFFF"/>
            <w:hideMark/>
          </w:tcPr>
          <w:p w14:paraId="7CB498C0"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2</w:t>
            </w:r>
          </w:p>
        </w:tc>
        <w:tc>
          <w:tcPr>
            <w:tcW w:w="959" w:type="dxa"/>
            <w:shd w:val="clear" w:color="000000" w:fill="FFFFFF"/>
            <w:hideMark/>
          </w:tcPr>
          <w:p w14:paraId="3754F9F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3EB0D8D3" w14:textId="3843A4C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Se evidenció correo del 26-10-21 citando a capacitación virtual efectuada por Contractual Reg a </w:t>
            </w:r>
            <w:r w:rsidR="00862168" w:rsidRPr="00853EB6">
              <w:rPr>
                <w:rFonts w:ascii="Arial" w:eastAsia="Times New Roman" w:hAnsi="Arial" w:cs="Arial"/>
                <w:sz w:val="16"/>
                <w:szCs w:val="16"/>
                <w:lang w:eastAsia="es-CO"/>
              </w:rPr>
              <w:t>Supervisores</w:t>
            </w:r>
            <w:r w:rsidRPr="00853EB6">
              <w:rPr>
                <w:rFonts w:ascii="Arial" w:eastAsia="Times New Roman" w:hAnsi="Arial" w:cs="Arial"/>
                <w:sz w:val="16"/>
                <w:szCs w:val="16"/>
                <w:lang w:eastAsia="es-CO"/>
              </w:rPr>
              <w:t xml:space="preserve"> y el control de asistencia; temas tratados: </w:t>
            </w:r>
            <w:proofErr w:type="spellStart"/>
            <w:r w:rsidRPr="00853EB6">
              <w:rPr>
                <w:rFonts w:ascii="Arial" w:eastAsia="Times New Roman" w:hAnsi="Arial" w:cs="Arial"/>
                <w:sz w:val="16"/>
                <w:szCs w:val="16"/>
                <w:lang w:eastAsia="es-CO"/>
              </w:rPr>
              <w:t>rég</w:t>
            </w:r>
            <w:proofErr w:type="spellEnd"/>
            <w:r w:rsidRPr="00853EB6">
              <w:rPr>
                <w:rFonts w:ascii="Arial" w:eastAsia="Times New Roman" w:hAnsi="Arial" w:cs="Arial"/>
                <w:sz w:val="16"/>
                <w:szCs w:val="16"/>
                <w:lang w:eastAsia="es-CO"/>
              </w:rPr>
              <w:t xml:space="preserve">. sancionatorio en materia contractual, incumplimientos </w:t>
            </w:r>
            <w:proofErr w:type="spellStart"/>
            <w:r w:rsidRPr="00853EB6">
              <w:rPr>
                <w:rFonts w:ascii="Arial" w:eastAsia="Times New Roman" w:hAnsi="Arial" w:cs="Arial"/>
                <w:sz w:val="16"/>
                <w:szCs w:val="16"/>
                <w:lang w:eastAsia="es-CO"/>
              </w:rPr>
              <w:t>ejecuc</w:t>
            </w:r>
            <w:proofErr w:type="spellEnd"/>
            <w:r w:rsidRPr="00853EB6">
              <w:rPr>
                <w:rFonts w:ascii="Arial" w:eastAsia="Times New Roman" w:hAnsi="Arial" w:cs="Arial"/>
                <w:sz w:val="16"/>
                <w:szCs w:val="16"/>
                <w:lang w:eastAsia="es-CO"/>
              </w:rPr>
              <w:t xml:space="preserve">. contractual, etapa </w:t>
            </w:r>
            <w:proofErr w:type="spellStart"/>
            <w:r w:rsidRPr="00853EB6">
              <w:rPr>
                <w:rFonts w:ascii="Arial" w:eastAsia="Times New Roman" w:hAnsi="Arial" w:cs="Arial"/>
                <w:sz w:val="16"/>
                <w:szCs w:val="16"/>
                <w:lang w:eastAsia="es-CO"/>
              </w:rPr>
              <w:t>postcontractual</w:t>
            </w:r>
            <w:proofErr w:type="spellEnd"/>
            <w:r w:rsidRPr="00853EB6">
              <w:rPr>
                <w:rFonts w:ascii="Arial" w:eastAsia="Times New Roman" w:hAnsi="Arial" w:cs="Arial"/>
                <w:sz w:val="16"/>
                <w:szCs w:val="16"/>
                <w:lang w:eastAsia="es-CO"/>
              </w:rPr>
              <w:t xml:space="preserve"> - </w:t>
            </w:r>
            <w:proofErr w:type="spellStart"/>
            <w:r w:rsidRPr="00853EB6">
              <w:rPr>
                <w:rFonts w:ascii="Arial" w:eastAsia="Times New Roman" w:hAnsi="Arial" w:cs="Arial"/>
                <w:sz w:val="16"/>
                <w:szCs w:val="16"/>
                <w:lang w:eastAsia="es-CO"/>
              </w:rPr>
              <w:t>liquid</w:t>
            </w:r>
            <w:proofErr w:type="spellEnd"/>
            <w:r w:rsidRPr="00853EB6">
              <w:rPr>
                <w:rFonts w:ascii="Arial" w:eastAsia="Times New Roman" w:hAnsi="Arial" w:cs="Arial"/>
                <w:sz w:val="16"/>
                <w:szCs w:val="16"/>
                <w:lang w:eastAsia="es-CO"/>
              </w:rPr>
              <w:t xml:space="preserve">. contrato, procedimiento a seguir el Supervisor, cierre expediente contractual; y vigilancia y control </w:t>
            </w:r>
            <w:proofErr w:type="spellStart"/>
            <w:r w:rsidRPr="00853EB6">
              <w:rPr>
                <w:rFonts w:ascii="Arial" w:eastAsia="Times New Roman" w:hAnsi="Arial" w:cs="Arial"/>
                <w:sz w:val="16"/>
                <w:szCs w:val="16"/>
                <w:lang w:eastAsia="es-CO"/>
              </w:rPr>
              <w:t>ejecuc</w:t>
            </w:r>
            <w:proofErr w:type="spellEnd"/>
            <w:r w:rsidRPr="00853EB6">
              <w:rPr>
                <w:rFonts w:ascii="Arial" w:eastAsia="Times New Roman" w:hAnsi="Arial" w:cs="Arial"/>
                <w:sz w:val="16"/>
                <w:szCs w:val="16"/>
                <w:lang w:eastAsia="es-CO"/>
              </w:rPr>
              <w:t xml:space="preserve">. contractual. </w:t>
            </w:r>
          </w:p>
        </w:tc>
      </w:tr>
      <w:tr w:rsidR="00853EB6" w:rsidRPr="00853EB6" w14:paraId="558C3899" w14:textId="77777777" w:rsidTr="00862168">
        <w:trPr>
          <w:trHeight w:val="2280"/>
        </w:trPr>
        <w:tc>
          <w:tcPr>
            <w:tcW w:w="2684" w:type="dxa"/>
            <w:shd w:val="clear" w:color="000000" w:fill="FFFFFF"/>
            <w:vAlign w:val="center"/>
            <w:hideMark/>
          </w:tcPr>
          <w:p w14:paraId="581CF8CE" w14:textId="351C8C76"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No.35. Supervisión e interventoría.</w:t>
            </w:r>
            <w:r w:rsidRPr="00853EB6">
              <w:rPr>
                <w:rFonts w:ascii="Arial" w:eastAsia="Times New Roman" w:hAnsi="Arial" w:cs="Arial"/>
                <w:sz w:val="16"/>
                <w:szCs w:val="16"/>
                <w:lang w:eastAsia="es-CO"/>
              </w:rPr>
              <w:t xml:space="preserve"> En los contratos de arrendamiento </w:t>
            </w:r>
            <w:r w:rsidR="00862168" w:rsidRPr="00853EB6">
              <w:rPr>
                <w:rFonts w:ascii="Arial" w:eastAsia="Times New Roman" w:hAnsi="Arial" w:cs="Arial"/>
                <w:sz w:val="16"/>
                <w:szCs w:val="16"/>
                <w:lang w:eastAsia="es-CO"/>
              </w:rPr>
              <w:t>revisados</w:t>
            </w:r>
            <w:r w:rsidRPr="00853EB6">
              <w:rPr>
                <w:rFonts w:ascii="Arial" w:eastAsia="Times New Roman" w:hAnsi="Arial" w:cs="Arial"/>
                <w:sz w:val="16"/>
                <w:szCs w:val="16"/>
                <w:lang w:eastAsia="es-CO"/>
              </w:rPr>
              <w:t xml:space="preserve"> se evidenciaron deficiencias respecto a: 1 Los días en el plazo de ejecución no concuerdan, frente al SECOP; 2 No se elaboraron los informes mensuales y finales y no fueron publicados en el SECOP, y 3 El acta de inicio de cada contrato registra el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xml:space="preserve"> en número de manera correcta y otro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xml:space="preserve"> en letra.</w:t>
            </w:r>
          </w:p>
        </w:tc>
        <w:tc>
          <w:tcPr>
            <w:tcW w:w="1412" w:type="dxa"/>
            <w:shd w:val="clear" w:color="000000" w:fill="FFFFFF"/>
            <w:hideMark/>
          </w:tcPr>
          <w:p w14:paraId="6A81EE1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las labores de supervisión y de los mecanismos de control interno aplicables al proceso contractual.</w:t>
            </w:r>
          </w:p>
        </w:tc>
        <w:tc>
          <w:tcPr>
            <w:tcW w:w="1635" w:type="dxa"/>
            <w:shd w:val="clear" w:color="000000" w:fill="FFFFFF"/>
            <w:hideMark/>
          </w:tcPr>
          <w:p w14:paraId="28FCACB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Elaborar control para validar los requisitos establecidos en la contratación directa por arrendamientos publicada en SECOP.</w:t>
            </w:r>
          </w:p>
        </w:tc>
        <w:tc>
          <w:tcPr>
            <w:tcW w:w="1910" w:type="dxa"/>
            <w:shd w:val="clear" w:color="000000" w:fill="FFFFFF"/>
            <w:hideMark/>
          </w:tcPr>
          <w:p w14:paraId="204FE6F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seguimiento bimestral del cumplimiento de los requisitos establecidos</w:t>
            </w:r>
          </w:p>
        </w:tc>
        <w:tc>
          <w:tcPr>
            <w:tcW w:w="1403" w:type="dxa"/>
            <w:shd w:val="clear" w:color="000000" w:fill="FFFFFF"/>
            <w:hideMark/>
          </w:tcPr>
          <w:p w14:paraId="345BE766" w14:textId="76A0D760" w:rsidR="00853EB6" w:rsidRPr="00853EB6" w:rsidRDefault="00853EB6" w:rsidP="00853EB6">
            <w:pPr>
              <w:spacing w:after="240"/>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Formato en </w:t>
            </w:r>
            <w:r w:rsidR="00862168" w:rsidRPr="00853EB6">
              <w:rPr>
                <w:rFonts w:ascii="Arial" w:eastAsia="Times New Roman" w:hAnsi="Arial" w:cs="Arial"/>
                <w:sz w:val="16"/>
                <w:szCs w:val="16"/>
                <w:lang w:eastAsia="es-CO"/>
              </w:rPr>
              <w:t>Excel</w:t>
            </w:r>
            <w:r w:rsidRPr="00853EB6">
              <w:rPr>
                <w:rFonts w:ascii="Arial" w:eastAsia="Times New Roman" w:hAnsi="Arial" w:cs="Arial"/>
                <w:sz w:val="16"/>
                <w:szCs w:val="16"/>
                <w:lang w:eastAsia="es-CO"/>
              </w:rPr>
              <w:br/>
            </w:r>
          </w:p>
        </w:tc>
        <w:tc>
          <w:tcPr>
            <w:tcW w:w="692" w:type="dxa"/>
            <w:shd w:val="clear" w:color="000000" w:fill="FFFFFF"/>
            <w:hideMark/>
          </w:tcPr>
          <w:p w14:paraId="44C9015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6 </w:t>
            </w:r>
          </w:p>
        </w:tc>
        <w:tc>
          <w:tcPr>
            <w:tcW w:w="941" w:type="dxa"/>
            <w:shd w:val="clear" w:color="000000" w:fill="FFFFFF"/>
            <w:hideMark/>
          </w:tcPr>
          <w:p w14:paraId="6E45618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15-jul-21</w:t>
            </w:r>
          </w:p>
        </w:tc>
        <w:tc>
          <w:tcPr>
            <w:tcW w:w="1047" w:type="dxa"/>
            <w:shd w:val="clear" w:color="000000" w:fill="FFFFFF"/>
            <w:hideMark/>
          </w:tcPr>
          <w:p w14:paraId="76BB3E0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14-jul-22</w:t>
            </w:r>
          </w:p>
        </w:tc>
        <w:tc>
          <w:tcPr>
            <w:tcW w:w="879" w:type="dxa"/>
            <w:shd w:val="clear" w:color="000000" w:fill="FFFFFF"/>
            <w:hideMark/>
          </w:tcPr>
          <w:p w14:paraId="351BD41C"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7</w:t>
            </w:r>
          </w:p>
        </w:tc>
        <w:tc>
          <w:tcPr>
            <w:tcW w:w="959" w:type="dxa"/>
            <w:shd w:val="clear" w:color="000000" w:fill="FFFFFF"/>
            <w:hideMark/>
          </w:tcPr>
          <w:p w14:paraId="07A512F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3E8658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 30-6-22 Se evidenció Formatos Hoja de Ruta Contratación Directa persona natural que es una lista de verificación de los documentos contratos Nos. 0002-2022 municipio Guatapé y 0003-2022 municipios Pintada, Sopetrán y Valdivia.</w:t>
            </w:r>
          </w:p>
        </w:tc>
      </w:tr>
      <w:tr w:rsidR="00853EB6" w:rsidRPr="00853EB6" w14:paraId="2B1C4633" w14:textId="77777777" w:rsidTr="00853EB6">
        <w:trPr>
          <w:trHeight w:val="2805"/>
        </w:trPr>
        <w:tc>
          <w:tcPr>
            <w:tcW w:w="2684" w:type="dxa"/>
            <w:shd w:val="clear" w:color="000000" w:fill="FFFFFF"/>
            <w:vAlign w:val="center"/>
            <w:hideMark/>
          </w:tcPr>
          <w:p w14:paraId="1F2A4F74" w14:textId="7783ABDE"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No.35. Supervisión e interventoría.</w:t>
            </w:r>
            <w:r w:rsidRPr="00853EB6">
              <w:rPr>
                <w:rFonts w:ascii="Arial" w:eastAsia="Times New Roman" w:hAnsi="Arial" w:cs="Arial"/>
                <w:sz w:val="16"/>
                <w:szCs w:val="16"/>
                <w:lang w:eastAsia="es-CO"/>
              </w:rPr>
              <w:t xml:space="preserve"> En los contratos de arrendamiento </w:t>
            </w:r>
            <w:r w:rsidR="00862168" w:rsidRPr="00853EB6">
              <w:rPr>
                <w:rFonts w:ascii="Arial" w:eastAsia="Times New Roman" w:hAnsi="Arial" w:cs="Arial"/>
                <w:sz w:val="16"/>
                <w:szCs w:val="16"/>
                <w:lang w:eastAsia="es-CO"/>
              </w:rPr>
              <w:t>revisados</w:t>
            </w:r>
            <w:r w:rsidRPr="00853EB6">
              <w:rPr>
                <w:rFonts w:ascii="Arial" w:eastAsia="Times New Roman" w:hAnsi="Arial" w:cs="Arial"/>
                <w:sz w:val="16"/>
                <w:szCs w:val="16"/>
                <w:lang w:eastAsia="es-CO"/>
              </w:rPr>
              <w:t xml:space="preserve"> se evidenciaron deficiencias respecto a: 1 Los días en el plazo de ejecución no concuerdan, frente al SECOP; 2 No se elaboraron los informes mensuales y finales y no fueron publicados en el SECOP, y 3 El acta de inicio de cada contrato registra el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xml:space="preserve"> en número de manera correcta y otro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xml:space="preserve"> en letra.</w:t>
            </w:r>
          </w:p>
        </w:tc>
        <w:tc>
          <w:tcPr>
            <w:tcW w:w="1412" w:type="dxa"/>
            <w:shd w:val="clear" w:color="000000" w:fill="FFFFFF"/>
            <w:hideMark/>
          </w:tcPr>
          <w:p w14:paraId="3536CC2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las labores de supervisión y de los mecanismos de control interno aplicables al proceso contractual.</w:t>
            </w:r>
          </w:p>
        </w:tc>
        <w:tc>
          <w:tcPr>
            <w:tcW w:w="1635" w:type="dxa"/>
            <w:shd w:val="clear" w:color="000000" w:fill="FFFFFF"/>
            <w:hideMark/>
          </w:tcPr>
          <w:p w14:paraId="12C427C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Implementar mecanismos de control y seguimiento que garanticen el cumplimiento de las funciones de los supervisores.</w:t>
            </w:r>
          </w:p>
        </w:tc>
        <w:tc>
          <w:tcPr>
            <w:tcW w:w="1910" w:type="dxa"/>
            <w:shd w:val="clear" w:color="000000" w:fill="FFFFFF"/>
            <w:hideMark/>
          </w:tcPr>
          <w:p w14:paraId="070D340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Efectuar seguimiento bimestral aleatorio a los procesos contractuales.</w:t>
            </w:r>
          </w:p>
        </w:tc>
        <w:tc>
          <w:tcPr>
            <w:tcW w:w="1403" w:type="dxa"/>
            <w:shd w:val="clear" w:color="000000" w:fill="FFFFFF"/>
            <w:hideMark/>
          </w:tcPr>
          <w:p w14:paraId="2091FFE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seguimiento</w:t>
            </w:r>
          </w:p>
        </w:tc>
        <w:tc>
          <w:tcPr>
            <w:tcW w:w="692" w:type="dxa"/>
            <w:shd w:val="clear" w:color="000000" w:fill="FFFFFF"/>
            <w:hideMark/>
          </w:tcPr>
          <w:p w14:paraId="1C1246F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043823C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15-jul-21</w:t>
            </w:r>
          </w:p>
        </w:tc>
        <w:tc>
          <w:tcPr>
            <w:tcW w:w="1047" w:type="dxa"/>
            <w:shd w:val="clear" w:color="000000" w:fill="FFFFFF"/>
            <w:hideMark/>
          </w:tcPr>
          <w:p w14:paraId="78C0704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14-jul-22</w:t>
            </w:r>
          </w:p>
        </w:tc>
        <w:tc>
          <w:tcPr>
            <w:tcW w:w="879" w:type="dxa"/>
            <w:shd w:val="clear" w:color="000000" w:fill="FFFFFF"/>
            <w:hideMark/>
          </w:tcPr>
          <w:p w14:paraId="72C6E501"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534C39F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156D452" w14:textId="4C946B1A"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31-12-2022 se evidenció: Informes No.5 y No. 6 en documento pdf con registros de junio a dic de 2022, contrato de arrendamiento, plazo, </w:t>
            </w:r>
            <w:r w:rsidR="00862168" w:rsidRPr="00853EB6">
              <w:rPr>
                <w:rFonts w:ascii="Arial" w:eastAsia="Times New Roman" w:hAnsi="Arial" w:cs="Arial"/>
                <w:sz w:val="16"/>
                <w:szCs w:val="16"/>
                <w:lang w:eastAsia="es-CO"/>
              </w:rPr>
              <w:t>publicación</w:t>
            </w:r>
            <w:r w:rsidRPr="00853EB6">
              <w:rPr>
                <w:rFonts w:ascii="Arial" w:eastAsia="Times New Roman" w:hAnsi="Arial" w:cs="Arial"/>
                <w:sz w:val="16"/>
                <w:szCs w:val="16"/>
                <w:lang w:eastAsia="es-CO"/>
              </w:rPr>
              <w:t xml:space="preserve"> y link </w:t>
            </w:r>
            <w:proofErr w:type="spellStart"/>
            <w:r w:rsidRPr="00853EB6">
              <w:rPr>
                <w:rFonts w:ascii="Arial" w:eastAsia="Times New Roman" w:hAnsi="Arial" w:cs="Arial"/>
                <w:sz w:val="16"/>
                <w:szCs w:val="16"/>
                <w:lang w:eastAsia="es-CO"/>
              </w:rPr>
              <w:t>Secop</w:t>
            </w:r>
            <w:proofErr w:type="spellEnd"/>
            <w:r w:rsidRPr="00853EB6">
              <w:rPr>
                <w:rFonts w:ascii="Arial" w:eastAsia="Times New Roman" w:hAnsi="Arial" w:cs="Arial"/>
                <w:sz w:val="16"/>
                <w:szCs w:val="16"/>
                <w:lang w:eastAsia="es-CO"/>
              </w:rPr>
              <w:t xml:space="preserve">, supervisor y la </w:t>
            </w:r>
            <w:r w:rsidR="00862168" w:rsidRPr="00853EB6">
              <w:rPr>
                <w:rFonts w:ascii="Arial" w:eastAsia="Times New Roman" w:hAnsi="Arial" w:cs="Arial"/>
                <w:sz w:val="16"/>
                <w:szCs w:val="16"/>
                <w:lang w:eastAsia="es-CO"/>
              </w:rPr>
              <w:t>relación</w:t>
            </w:r>
            <w:r w:rsidRPr="00853EB6">
              <w:rPr>
                <w:rFonts w:ascii="Arial" w:eastAsia="Times New Roman" w:hAnsi="Arial" w:cs="Arial"/>
                <w:sz w:val="16"/>
                <w:szCs w:val="16"/>
                <w:lang w:eastAsia="es-CO"/>
              </w:rPr>
              <w:t xml:space="preserve"> de documentos que aparecen publicados en el </w:t>
            </w:r>
            <w:proofErr w:type="spellStart"/>
            <w:r w:rsidRPr="00853EB6">
              <w:rPr>
                <w:rFonts w:ascii="Arial" w:eastAsia="Times New Roman" w:hAnsi="Arial" w:cs="Arial"/>
                <w:sz w:val="16"/>
                <w:szCs w:val="16"/>
                <w:lang w:eastAsia="es-CO"/>
              </w:rPr>
              <w:t>secop</w:t>
            </w:r>
            <w:proofErr w:type="spellEnd"/>
            <w:r w:rsidRPr="00853EB6">
              <w:rPr>
                <w:rFonts w:ascii="Arial" w:eastAsia="Times New Roman" w:hAnsi="Arial" w:cs="Arial"/>
                <w:sz w:val="16"/>
                <w:szCs w:val="16"/>
                <w:lang w:eastAsia="es-CO"/>
              </w:rPr>
              <w:t xml:space="preserve"> incluyendo los informes del supervisor.</w:t>
            </w:r>
          </w:p>
        </w:tc>
      </w:tr>
      <w:tr w:rsidR="00853EB6" w:rsidRPr="00853EB6" w14:paraId="3FCCD127" w14:textId="77777777" w:rsidTr="00853EB6">
        <w:trPr>
          <w:trHeight w:val="2805"/>
        </w:trPr>
        <w:tc>
          <w:tcPr>
            <w:tcW w:w="2684" w:type="dxa"/>
            <w:shd w:val="clear" w:color="000000" w:fill="FFFFFF"/>
            <w:vAlign w:val="center"/>
            <w:hideMark/>
          </w:tcPr>
          <w:p w14:paraId="1249068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No.36. Pagos efectuados CN No. 04 -2020.</w:t>
            </w:r>
            <w:r w:rsidRPr="00853EB6">
              <w:rPr>
                <w:rFonts w:ascii="Arial" w:eastAsia="Times New Roman" w:hAnsi="Arial" w:cs="Arial"/>
                <w:sz w:val="16"/>
                <w:szCs w:val="16"/>
                <w:lang w:eastAsia="es-CO"/>
              </w:rPr>
              <w:t xml:space="preserve"> En los estudios previos no se </w:t>
            </w:r>
            <w:proofErr w:type="spellStart"/>
            <w:r w:rsidRPr="00853EB6">
              <w:rPr>
                <w:rFonts w:ascii="Arial" w:eastAsia="Times New Roman" w:hAnsi="Arial" w:cs="Arial"/>
                <w:sz w:val="16"/>
                <w:szCs w:val="16"/>
                <w:lang w:eastAsia="es-CO"/>
              </w:rPr>
              <w:t>justifca</w:t>
            </w:r>
            <w:proofErr w:type="spellEnd"/>
            <w:r w:rsidRPr="00853EB6">
              <w:rPr>
                <w:rFonts w:ascii="Arial" w:eastAsia="Times New Roman" w:hAnsi="Arial" w:cs="Arial"/>
                <w:sz w:val="16"/>
                <w:szCs w:val="16"/>
                <w:lang w:eastAsia="es-CO"/>
              </w:rPr>
              <w:t xml:space="preserve"> la necesidad del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ni presupuestos técnicos; tampoco se detalla la utilización de los materiales de construcción y ferretería. No hay registro de reparaciones y mantenimientos preventivos y correctivos de sedes en cada seccional, ni informe detallado del destino de las compras de estos materiales.</w:t>
            </w:r>
          </w:p>
        </w:tc>
        <w:tc>
          <w:tcPr>
            <w:tcW w:w="1412" w:type="dxa"/>
            <w:shd w:val="clear" w:color="000000" w:fill="FFFFFF"/>
            <w:hideMark/>
          </w:tcPr>
          <w:p w14:paraId="168BBEB6" w14:textId="4E711131"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Falta de planeación, control y supervisión. La herramienta implementada por la entidad para el control de incidentes de </w:t>
            </w:r>
            <w:r w:rsidR="00862168" w:rsidRPr="00853EB6">
              <w:rPr>
                <w:rFonts w:ascii="Arial" w:eastAsia="Times New Roman" w:hAnsi="Arial" w:cs="Arial"/>
                <w:sz w:val="16"/>
                <w:szCs w:val="16"/>
                <w:lang w:eastAsia="es-CO"/>
              </w:rPr>
              <w:t>mantenimientos</w:t>
            </w:r>
            <w:r w:rsidRPr="00853EB6">
              <w:rPr>
                <w:rFonts w:ascii="Arial" w:eastAsia="Times New Roman" w:hAnsi="Arial" w:cs="Arial"/>
                <w:sz w:val="16"/>
                <w:szCs w:val="16"/>
                <w:lang w:eastAsia="es-CO"/>
              </w:rPr>
              <w:t xml:space="preserve"> no ha desarrollado el módulo de verificación de materiales.</w:t>
            </w:r>
          </w:p>
        </w:tc>
        <w:tc>
          <w:tcPr>
            <w:tcW w:w="1635" w:type="dxa"/>
            <w:shd w:val="clear" w:color="000000" w:fill="FFFFFF"/>
            <w:hideMark/>
          </w:tcPr>
          <w:p w14:paraId="0AC2433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Implementar control que garantice el consumo de suministros por cada obra o mejoras adelantadas en las sedes de la Regional</w:t>
            </w:r>
          </w:p>
        </w:tc>
        <w:tc>
          <w:tcPr>
            <w:tcW w:w="1910" w:type="dxa"/>
            <w:shd w:val="clear" w:color="000000" w:fill="FFFFFF"/>
            <w:hideMark/>
          </w:tcPr>
          <w:p w14:paraId="48B3D04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Diseñar una matriz que identifique el detalle de los suministros utilizados por cada obra o mejoras adelantadas en las sedes de la Regional</w:t>
            </w:r>
          </w:p>
        </w:tc>
        <w:tc>
          <w:tcPr>
            <w:tcW w:w="1403" w:type="dxa"/>
            <w:shd w:val="clear" w:color="000000" w:fill="FFFFFF"/>
            <w:hideMark/>
          </w:tcPr>
          <w:p w14:paraId="354AD14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con análisis de matriz</w:t>
            </w:r>
          </w:p>
        </w:tc>
        <w:tc>
          <w:tcPr>
            <w:tcW w:w="692" w:type="dxa"/>
            <w:shd w:val="clear" w:color="000000" w:fill="FFFFFF"/>
            <w:hideMark/>
          </w:tcPr>
          <w:p w14:paraId="124B1FD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6711DB9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30-jun-21</w:t>
            </w:r>
          </w:p>
        </w:tc>
        <w:tc>
          <w:tcPr>
            <w:tcW w:w="1047" w:type="dxa"/>
            <w:shd w:val="clear" w:color="000000" w:fill="FFFFFF"/>
            <w:hideMark/>
          </w:tcPr>
          <w:p w14:paraId="3322113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31-dic-21</w:t>
            </w:r>
          </w:p>
        </w:tc>
        <w:tc>
          <w:tcPr>
            <w:tcW w:w="879" w:type="dxa"/>
            <w:shd w:val="clear" w:color="000000" w:fill="FFFFFF"/>
            <w:hideMark/>
          </w:tcPr>
          <w:p w14:paraId="6605F0B2"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0CEFD05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39D8735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31-12-2021 e evidenció cuadro matriz donde se refleja la información desde el 4 de agosto el inventario de materiales hasta el 30 de diciembre de 2021.</w:t>
            </w:r>
          </w:p>
        </w:tc>
      </w:tr>
      <w:tr w:rsidR="00853EB6" w:rsidRPr="00853EB6" w14:paraId="1C26A511" w14:textId="77777777" w:rsidTr="00853EB6">
        <w:trPr>
          <w:trHeight w:val="2040"/>
        </w:trPr>
        <w:tc>
          <w:tcPr>
            <w:tcW w:w="2684" w:type="dxa"/>
            <w:shd w:val="clear" w:color="000000" w:fill="FFFFFF"/>
            <w:vAlign w:val="center"/>
            <w:hideMark/>
          </w:tcPr>
          <w:p w14:paraId="39D413CE" w14:textId="3EEF9FEF"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 37. Gasto impacto pandemia COVID-19.</w:t>
            </w:r>
            <w:r w:rsidRPr="00853EB6">
              <w:rPr>
                <w:rFonts w:ascii="Arial" w:eastAsia="Times New Roman" w:hAnsi="Arial" w:cs="Arial"/>
                <w:sz w:val="16"/>
                <w:szCs w:val="16"/>
                <w:lang w:eastAsia="es-CO"/>
              </w:rPr>
              <w:t xml:space="preserve"> Revisado el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FGN-RCA-0039-2020 para evaluar el gasto destinado a cubrir el impacto de la pandemia, se observó que no hay comprobantes de entrada y salida del almacén, ni soportes de la </w:t>
            </w:r>
            <w:r w:rsidR="00862168" w:rsidRPr="00853EB6">
              <w:rPr>
                <w:rFonts w:ascii="Arial" w:eastAsia="Times New Roman" w:hAnsi="Arial" w:cs="Arial"/>
                <w:sz w:val="16"/>
                <w:szCs w:val="16"/>
                <w:lang w:eastAsia="es-CO"/>
              </w:rPr>
              <w:t>adecuada</w:t>
            </w:r>
            <w:r w:rsidRPr="00853EB6">
              <w:rPr>
                <w:rFonts w:ascii="Arial" w:eastAsia="Times New Roman" w:hAnsi="Arial" w:cs="Arial"/>
                <w:sz w:val="16"/>
                <w:szCs w:val="16"/>
                <w:lang w:eastAsia="es-CO"/>
              </w:rPr>
              <w:t xml:space="preserve"> recepción y entrega de los lavamos portátiles y </w:t>
            </w:r>
            <w:r w:rsidR="00862168" w:rsidRPr="00853EB6">
              <w:rPr>
                <w:rFonts w:ascii="Arial" w:eastAsia="Times New Roman" w:hAnsi="Arial" w:cs="Arial"/>
                <w:sz w:val="16"/>
                <w:szCs w:val="16"/>
                <w:lang w:eastAsia="es-CO"/>
              </w:rPr>
              <w:t>geles adquiridos</w:t>
            </w:r>
            <w:r w:rsidRPr="00853EB6">
              <w:rPr>
                <w:rFonts w:ascii="Arial" w:eastAsia="Times New Roman" w:hAnsi="Arial" w:cs="Arial"/>
                <w:sz w:val="16"/>
                <w:szCs w:val="16"/>
                <w:lang w:eastAsia="es-CO"/>
              </w:rPr>
              <w:t>.</w:t>
            </w:r>
          </w:p>
        </w:tc>
        <w:tc>
          <w:tcPr>
            <w:tcW w:w="1412" w:type="dxa"/>
            <w:shd w:val="clear" w:color="000000" w:fill="FFFFFF"/>
            <w:hideMark/>
          </w:tcPr>
          <w:p w14:paraId="180899A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Falta de seguimiento al ejercicio del cumplimiento de las obligaciones del contratista.</w:t>
            </w:r>
          </w:p>
        </w:tc>
        <w:tc>
          <w:tcPr>
            <w:tcW w:w="1635" w:type="dxa"/>
            <w:shd w:val="clear" w:color="000000" w:fill="FFFFFF"/>
            <w:hideMark/>
          </w:tcPr>
          <w:p w14:paraId="1F8E8D7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Capacitar a los supervisores de contratos de suministro de elementos sujetos a ingreso a almacén en el procedimiento respectivo</w:t>
            </w:r>
          </w:p>
        </w:tc>
        <w:tc>
          <w:tcPr>
            <w:tcW w:w="1910" w:type="dxa"/>
            <w:shd w:val="clear" w:color="000000" w:fill="FFFFFF"/>
            <w:hideMark/>
          </w:tcPr>
          <w:p w14:paraId="2979F86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1. Convocar a los supervisores mediante correo electrónico y realizar reunión de capacitación.</w:t>
            </w:r>
          </w:p>
        </w:tc>
        <w:tc>
          <w:tcPr>
            <w:tcW w:w="1403" w:type="dxa"/>
            <w:shd w:val="clear" w:color="000000" w:fill="FFFFFF"/>
            <w:hideMark/>
          </w:tcPr>
          <w:p w14:paraId="473BEBA6"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Acta de reunión</w:t>
            </w:r>
          </w:p>
        </w:tc>
        <w:tc>
          <w:tcPr>
            <w:tcW w:w="692" w:type="dxa"/>
            <w:shd w:val="clear" w:color="000000" w:fill="FFFFFF"/>
            <w:hideMark/>
          </w:tcPr>
          <w:p w14:paraId="60CC23C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12859FC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16-jun-21</w:t>
            </w:r>
          </w:p>
        </w:tc>
        <w:tc>
          <w:tcPr>
            <w:tcW w:w="1047" w:type="dxa"/>
            <w:shd w:val="clear" w:color="000000" w:fill="FFFFFF"/>
            <w:hideMark/>
          </w:tcPr>
          <w:p w14:paraId="2B4E586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30-jul-21</w:t>
            </w:r>
          </w:p>
        </w:tc>
        <w:tc>
          <w:tcPr>
            <w:tcW w:w="879" w:type="dxa"/>
            <w:shd w:val="clear" w:color="000000" w:fill="FFFFFF"/>
            <w:hideMark/>
          </w:tcPr>
          <w:p w14:paraId="216A2F4E"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01A5850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3A4FA2D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 corte 31-12-2021 Se evidenció acta del 2-8-2021 en la cual se socializa el procedimiento de recepción en almacén de elementos convocando a todo el Grupo de Bienes.</w:t>
            </w:r>
          </w:p>
        </w:tc>
      </w:tr>
      <w:tr w:rsidR="00853EB6" w:rsidRPr="00853EB6" w14:paraId="110D15D2" w14:textId="77777777" w:rsidTr="00853EB6">
        <w:trPr>
          <w:trHeight w:val="2805"/>
        </w:trPr>
        <w:tc>
          <w:tcPr>
            <w:tcW w:w="2684" w:type="dxa"/>
            <w:shd w:val="clear" w:color="000000" w:fill="FFFFFF"/>
            <w:vAlign w:val="center"/>
            <w:hideMark/>
          </w:tcPr>
          <w:p w14:paraId="6BBA878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No.38. Control consumo de combustible. Orden de compra No.59646. (D).</w:t>
            </w:r>
            <w:r w:rsidRPr="00853EB6">
              <w:rPr>
                <w:rFonts w:ascii="Arial" w:eastAsia="Times New Roman" w:hAnsi="Arial" w:cs="Arial"/>
                <w:sz w:val="16"/>
                <w:szCs w:val="16"/>
                <w:lang w:eastAsia="es-CO"/>
              </w:rPr>
              <w:t xml:space="preserve"> En el informe No. 1 de supervisión de la orden de compra se encontraron inconsistencias en el consumo de combustible por $6.021.927 porque los soportes no evidencian la identificación del beneficiario que acreditara que el combustible suministrado fue recibido por los automotores de la FGN.</w:t>
            </w:r>
          </w:p>
        </w:tc>
        <w:tc>
          <w:tcPr>
            <w:tcW w:w="1412" w:type="dxa"/>
            <w:shd w:val="clear" w:color="000000" w:fill="FFFFFF"/>
            <w:hideMark/>
          </w:tcPr>
          <w:p w14:paraId="6DED725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 en la aplicación de los controles específicos que determinen el correcto consumo de combustible, así como las fallas en los procesos de supervisión.</w:t>
            </w:r>
          </w:p>
        </w:tc>
        <w:tc>
          <w:tcPr>
            <w:tcW w:w="1635" w:type="dxa"/>
            <w:shd w:val="clear" w:color="000000" w:fill="FFFFFF"/>
            <w:hideMark/>
          </w:tcPr>
          <w:p w14:paraId="01F0547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Capacitación a los supervisores designados responsables del seguimiento y control de la ejecución de los contratos.</w:t>
            </w:r>
          </w:p>
        </w:tc>
        <w:tc>
          <w:tcPr>
            <w:tcW w:w="1910" w:type="dxa"/>
            <w:shd w:val="clear" w:color="000000" w:fill="FFFFFF"/>
            <w:hideMark/>
          </w:tcPr>
          <w:p w14:paraId="464693B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capacitación integral mediante charla presencial y/o virtual</w:t>
            </w:r>
          </w:p>
        </w:tc>
        <w:tc>
          <w:tcPr>
            <w:tcW w:w="1403" w:type="dxa"/>
            <w:shd w:val="clear" w:color="000000" w:fill="FFFFFF"/>
            <w:hideMark/>
          </w:tcPr>
          <w:p w14:paraId="1C9D647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Convocatorias a capacitación y registros de asistencia</w:t>
            </w:r>
          </w:p>
        </w:tc>
        <w:tc>
          <w:tcPr>
            <w:tcW w:w="692" w:type="dxa"/>
            <w:shd w:val="clear" w:color="000000" w:fill="FFFFFF"/>
            <w:hideMark/>
          </w:tcPr>
          <w:p w14:paraId="5D24F22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6D6B1E8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19/07/2021</w:t>
            </w:r>
          </w:p>
        </w:tc>
        <w:tc>
          <w:tcPr>
            <w:tcW w:w="1047" w:type="dxa"/>
            <w:shd w:val="clear" w:color="000000" w:fill="FFFFFF"/>
            <w:hideMark/>
          </w:tcPr>
          <w:p w14:paraId="417F291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1/10/2021</w:t>
            </w:r>
          </w:p>
        </w:tc>
        <w:tc>
          <w:tcPr>
            <w:tcW w:w="879" w:type="dxa"/>
            <w:shd w:val="clear" w:color="000000" w:fill="FFFFFF"/>
            <w:hideMark/>
          </w:tcPr>
          <w:p w14:paraId="621398DB"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24DBFF2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48E457F" w14:textId="3F7A38D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31-12-2021 Se evidenció un Formato de acta de reunión del 27-9-2021 en la que se socializó la guía de suministros y control de combustibles y el formato de informe parcial o final de supervisión, se observa que los soportes no son iguales a lo </w:t>
            </w:r>
            <w:r w:rsidR="00862168" w:rsidRPr="00853EB6">
              <w:rPr>
                <w:rFonts w:ascii="Arial" w:eastAsia="Times New Roman" w:hAnsi="Arial" w:cs="Arial"/>
                <w:sz w:val="16"/>
                <w:szCs w:val="16"/>
                <w:lang w:eastAsia="es-CO"/>
              </w:rPr>
              <w:t>formulado,</w:t>
            </w:r>
            <w:r w:rsidRPr="00853EB6">
              <w:rPr>
                <w:rFonts w:ascii="Arial" w:eastAsia="Times New Roman" w:hAnsi="Arial" w:cs="Arial"/>
                <w:sz w:val="16"/>
                <w:szCs w:val="16"/>
                <w:lang w:eastAsia="es-CO"/>
              </w:rPr>
              <w:t xml:space="preserve"> pero se validan con lo evidenciado.</w:t>
            </w:r>
          </w:p>
        </w:tc>
      </w:tr>
      <w:tr w:rsidR="00853EB6" w:rsidRPr="00853EB6" w14:paraId="191FED8E" w14:textId="77777777" w:rsidTr="00853EB6">
        <w:trPr>
          <w:trHeight w:val="2805"/>
        </w:trPr>
        <w:tc>
          <w:tcPr>
            <w:tcW w:w="2684" w:type="dxa"/>
            <w:shd w:val="clear" w:color="000000" w:fill="FFFFFF"/>
            <w:vAlign w:val="center"/>
            <w:hideMark/>
          </w:tcPr>
          <w:p w14:paraId="42ECF8C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No.38. Control consumo de combustible. Orden de compra No.59646. (D).</w:t>
            </w:r>
            <w:r w:rsidRPr="00853EB6">
              <w:rPr>
                <w:rFonts w:ascii="Arial" w:eastAsia="Times New Roman" w:hAnsi="Arial" w:cs="Arial"/>
                <w:sz w:val="16"/>
                <w:szCs w:val="16"/>
                <w:lang w:eastAsia="es-CO"/>
              </w:rPr>
              <w:t xml:space="preserve"> En el informe No. 1 de supervisión de la orden de compra se encontraron inconsistencias en el consumo de combustible por $6.021.927 porque los soportes no evidencian la identificación del beneficiario que acreditara que el combustible suministrado fue recibido por los automotores de la FGN.</w:t>
            </w:r>
          </w:p>
        </w:tc>
        <w:tc>
          <w:tcPr>
            <w:tcW w:w="1412" w:type="dxa"/>
            <w:shd w:val="clear" w:color="000000" w:fill="FFFFFF"/>
            <w:hideMark/>
          </w:tcPr>
          <w:p w14:paraId="1810756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 en la aplicación de los controles específicos que determinen el correcto consumo de combustible, así como las fallas en los procesos de supervisión.</w:t>
            </w:r>
          </w:p>
        </w:tc>
        <w:tc>
          <w:tcPr>
            <w:tcW w:w="1635" w:type="dxa"/>
            <w:shd w:val="clear" w:color="000000" w:fill="FFFFFF"/>
            <w:hideMark/>
          </w:tcPr>
          <w:p w14:paraId="6014EA7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Capacitación a los supervisores designados responsables del seguimiento y control de la ejecución de los contratos.</w:t>
            </w:r>
          </w:p>
        </w:tc>
        <w:tc>
          <w:tcPr>
            <w:tcW w:w="1910" w:type="dxa"/>
            <w:shd w:val="clear" w:color="000000" w:fill="FFFFFF"/>
            <w:hideMark/>
          </w:tcPr>
          <w:p w14:paraId="13D9EBA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Efectuar seguimiento bimestral aleatorio a los procesos contractuales.</w:t>
            </w:r>
          </w:p>
        </w:tc>
        <w:tc>
          <w:tcPr>
            <w:tcW w:w="1403" w:type="dxa"/>
            <w:shd w:val="clear" w:color="000000" w:fill="FFFFFF"/>
            <w:hideMark/>
          </w:tcPr>
          <w:p w14:paraId="2A31D1D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seguimiento</w:t>
            </w:r>
          </w:p>
        </w:tc>
        <w:tc>
          <w:tcPr>
            <w:tcW w:w="692" w:type="dxa"/>
            <w:shd w:val="clear" w:color="000000" w:fill="FFFFFF"/>
            <w:hideMark/>
          </w:tcPr>
          <w:p w14:paraId="544AED3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597BD40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19-jul-21</w:t>
            </w:r>
          </w:p>
        </w:tc>
        <w:tc>
          <w:tcPr>
            <w:tcW w:w="1047" w:type="dxa"/>
            <w:shd w:val="clear" w:color="000000" w:fill="FFFFFF"/>
            <w:hideMark/>
          </w:tcPr>
          <w:p w14:paraId="7E81604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15-jul-22</w:t>
            </w:r>
          </w:p>
        </w:tc>
        <w:tc>
          <w:tcPr>
            <w:tcW w:w="879" w:type="dxa"/>
            <w:shd w:val="clear" w:color="000000" w:fill="FFFFFF"/>
            <w:hideMark/>
          </w:tcPr>
          <w:p w14:paraId="78119966"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5636D9A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22119F7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Con corte 30 de junio de 2022 se evidenciaron formatos FGN-AP04-F46 de apoyo suministro combustible de los meses de enero a junio de 2022, y formatos mensuales supervisión de los contratos de Terpel y </w:t>
            </w:r>
            <w:proofErr w:type="spellStart"/>
            <w:r w:rsidRPr="00853EB6">
              <w:rPr>
                <w:rFonts w:ascii="Arial" w:eastAsia="Times New Roman" w:hAnsi="Arial" w:cs="Arial"/>
                <w:sz w:val="16"/>
                <w:szCs w:val="16"/>
                <w:lang w:eastAsia="es-CO"/>
              </w:rPr>
              <w:t>Distracom</w:t>
            </w:r>
            <w:proofErr w:type="spellEnd"/>
            <w:r w:rsidRPr="00853EB6">
              <w:rPr>
                <w:rFonts w:ascii="Arial" w:eastAsia="Times New Roman" w:hAnsi="Arial" w:cs="Arial"/>
                <w:sz w:val="16"/>
                <w:szCs w:val="16"/>
                <w:lang w:eastAsia="es-CO"/>
              </w:rPr>
              <w:t xml:space="preserve"> por la vigencia 2021 y 2022, en dichos informes se observaron aspectos generales del contrato, resumen financiero, el seguimiento técnico, administrativo, financiero y jurídico.</w:t>
            </w:r>
          </w:p>
        </w:tc>
      </w:tr>
      <w:tr w:rsidR="00853EB6" w:rsidRPr="00853EB6" w14:paraId="03F8C313" w14:textId="77777777" w:rsidTr="00862168">
        <w:trPr>
          <w:trHeight w:val="2138"/>
        </w:trPr>
        <w:tc>
          <w:tcPr>
            <w:tcW w:w="2684" w:type="dxa"/>
            <w:shd w:val="clear" w:color="000000" w:fill="FFFFFF"/>
            <w:vAlign w:val="center"/>
            <w:hideMark/>
          </w:tcPr>
          <w:p w14:paraId="7D02D42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No.39. Control consumo de combustible. Orden de Compra No. 59644. (D).</w:t>
            </w:r>
            <w:r w:rsidRPr="00853EB6">
              <w:rPr>
                <w:rFonts w:ascii="Arial" w:eastAsia="Times New Roman" w:hAnsi="Arial" w:cs="Arial"/>
                <w:sz w:val="16"/>
                <w:szCs w:val="16"/>
                <w:lang w:eastAsia="es-CO"/>
              </w:rPr>
              <w:t xml:space="preserve"> En los informes parciales 1 y 2 de supervisión de la orden de compra se encontraron inconsistencias en el consumo de combustible por $41.559.461 porque los soportes no evidencian la identificación del beneficiario que acreditara que el combustible suministrado fue recibido por los automotores de la FGN.</w:t>
            </w:r>
          </w:p>
        </w:tc>
        <w:tc>
          <w:tcPr>
            <w:tcW w:w="1412" w:type="dxa"/>
            <w:shd w:val="clear" w:color="000000" w:fill="FFFFFF"/>
            <w:hideMark/>
          </w:tcPr>
          <w:p w14:paraId="7092FD5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 en la aplicación de los controles específicos que determinen el correcto consumo de combustible, así como las fallas en los procesos de supervisión.</w:t>
            </w:r>
          </w:p>
        </w:tc>
        <w:tc>
          <w:tcPr>
            <w:tcW w:w="1635" w:type="dxa"/>
            <w:shd w:val="clear" w:color="000000" w:fill="FFFFFF"/>
            <w:hideMark/>
          </w:tcPr>
          <w:p w14:paraId="20CF1AD4" w14:textId="7FEA56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Incluir el desglose de vehículos que recibieron </w:t>
            </w:r>
            <w:r w:rsidR="00862168" w:rsidRPr="00853EB6">
              <w:rPr>
                <w:rFonts w:ascii="Arial" w:eastAsia="Times New Roman" w:hAnsi="Arial" w:cs="Arial"/>
                <w:sz w:val="16"/>
                <w:szCs w:val="16"/>
                <w:lang w:eastAsia="es-CO"/>
              </w:rPr>
              <w:t>combustible en</w:t>
            </w:r>
            <w:r w:rsidRPr="00853EB6">
              <w:rPr>
                <w:rFonts w:ascii="Arial" w:eastAsia="Times New Roman" w:hAnsi="Arial" w:cs="Arial"/>
                <w:sz w:val="16"/>
                <w:szCs w:val="16"/>
                <w:lang w:eastAsia="es-CO"/>
              </w:rPr>
              <w:t xml:space="preserve"> los informes de supervisión</w:t>
            </w:r>
          </w:p>
        </w:tc>
        <w:tc>
          <w:tcPr>
            <w:tcW w:w="1910" w:type="dxa"/>
            <w:shd w:val="clear" w:color="000000" w:fill="FFFFFF"/>
            <w:hideMark/>
          </w:tcPr>
          <w:p w14:paraId="2606B15E" w14:textId="2378BA5A"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Anexar el desglose de vehículos que recibieron el </w:t>
            </w:r>
            <w:r w:rsidR="00862168" w:rsidRPr="00853EB6">
              <w:rPr>
                <w:rFonts w:ascii="Arial" w:eastAsia="Times New Roman" w:hAnsi="Arial" w:cs="Arial"/>
                <w:sz w:val="16"/>
                <w:szCs w:val="16"/>
                <w:lang w:eastAsia="es-CO"/>
              </w:rPr>
              <w:t>combustible a</w:t>
            </w:r>
            <w:r w:rsidRPr="00853EB6">
              <w:rPr>
                <w:rFonts w:ascii="Arial" w:eastAsia="Times New Roman" w:hAnsi="Arial" w:cs="Arial"/>
                <w:sz w:val="16"/>
                <w:szCs w:val="16"/>
                <w:lang w:eastAsia="es-CO"/>
              </w:rPr>
              <w:t xml:space="preserve"> los  informes de supervisión </w:t>
            </w:r>
          </w:p>
        </w:tc>
        <w:tc>
          <w:tcPr>
            <w:tcW w:w="1403" w:type="dxa"/>
            <w:shd w:val="clear" w:color="000000" w:fill="FFFFFF"/>
            <w:hideMark/>
          </w:tcPr>
          <w:p w14:paraId="69CF174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supervisión con detalle de vehículos que recibieron el servicio</w:t>
            </w:r>
          </w:p>
        </w:tc>
        <w:tc>
          <w:tcPr>
            <w:tcW w:w="692" w:type="dxa"/>
            <w:shd w:val="clear" w:color="000000" w:fill="FFFFFF"/>
            <w:hideMark/>
          </w:tcPr>
          <w:p w14:paraId="48BDA8A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w:t>
            </w:r>
          </w:p>
        </w:tc>
        <w:tc>
          <w:tcPr>
            <w:tcW w:w="941" w:type="dxa"/>
            <w:shd w:val="clear" w:color="000000" w:fill="FFFFFF"/>
            <w:hideMark/>
          </w:tcPr>
          <w:p w14:paraId="2EFB298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16-jun-21</w:t>
            </w:r>
          </w:p>
        </w:tc>
        <w:tc>
          <w:tcPr>
            <w:tcW w:w="1047" w:type="dxa"/>
            <w:shd w:val="clear" w:color="000000" w:fill="FFFFFF"/>
            <w:hideMark/>
          </w:tcPr>
          <w:p w14:paraId="74747E8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30-sep-21</w:t>
            </w:r>
          </w:p>
        </w:tc>
        <w:tc>
          <w:tcPr>
            <w:tcW w:w="879" w:type="dxa"/>
            <w:shd w:val="clear" w:color="000000" w:fill="FFFFFF"/>
            <w:hideMark/>
          </w:tcPr>
          <w:p w14:paraId="7309C149"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3</w:t>
            </w:r>
          </w:p>
        </w:tc>
        <w:tc>
          <w:tcPr>
            <w:tcW w:w="959" w:type="dxa"/>
            <w:shd w:val="clear" w:color="000000" w:fill="FFFFFF"/>
            <w:hideMark/>
          </w:tcPr>
          <w:p w14:paraId="5848FF4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0B7433ED" w14:textId="1A6AE5C9"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31-12-2021 se evidenció Formato informe de supervisión con DISTRACON (corte julio), TERPEL (corte julio), BIGPASS, observando que se encuentran relacionados lo </w:t>
            </w:r>
            <w:r w:rsidR="00862168" w:rsidRPr="00853EB6">
              <w:rPr>
                <w:rFonts w:ascii="Arial" w:eastAsia="Times New Roman" w:hAnsi="Arial" w:cs="Arial"/>
                <w:sz w:val="16"/>
                <w:szCs w:val="16"/>
                <w:lang w:eastAsia="es-CO"/>
              </w:rPr>
              <w:t>vehículos</w:t>
            </w:r>
            <w:r w:rsidRPr="00853EB6">
              <w:rPr>
                <w:rFonts w:ascii="Arial" w:eastAsia="Times New Roman" w:hAnsi="Arial" w:cs="Arial"/>
                <w:sz w:val="16"/>
                <w:szCs w:val="16"/>
                <w:lang w:eastAsia="es-CO"/>
              </w:rPr>
              <w:t xml:space="preserve"> que recibieron esos combustibles.</w:t>
            </w:r>
          </w:p>
        </w:tc>
      </w:tr>
      <w:tr w:rsidR="00853EB6" w:rsidRPr="00853EB6" w14:paraId="1C663EF5" w14:textId="77777777" w:rsidTr="00853EB6">
        <w:trPr>
          <w:trHeight w:val="2805"/>
        </w:trPr>
        <w:tc>
          <w:tcPr>
            <w:tcW w:w="2684" w:type="dxa"/>
            <w:shd w:val="clear" w:color="000000" w:fill="FFFFFF"/>
            <w:vAlign w:val="center"/>
            <w:hideMark/>
          </w:tcPr>
          <w:p w14:paraId="7BF798B5" w14:textId="6C15DEDB"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No.40. Orden Compra 51965 de 2020 - Entrada elementos.</w:t>
            </w:r>
            <w:r w:rsidRPr="00853EB6">
              <w:rPr>
                <w:rFonts w:ascii="Arial" w:eastAsia="Times New Roman" w:hAnsi="Arial" w:cs="Arial"/>
                <w:sz w:val="16"/>
                <w:szCs w:val="16"/>
                <w:lang w:eastAsia="es-CO"/>
              </w:rPr>
              <w:t xml:space="preserve"> El comprobante de entrada No 209 del 14-08-2020 de la Orden de Compra 51965, se evidenció inconsistencias en los elementos ingresados, el elemento 115014001 cuya descripción es Billetera </w:t>
            </w:r>
            <w:r w:rsidR="00862168" w:rsidRPr="00853EB6">
              <w:rPr>
                <w:rFonts w:ascii="Arial" w:eastAsia="Times New Roman" w:hAnsi="Arial" w:cs="Arial"/>
                <w:sz w:val="16"/>
                <w:szCs w:val="16"/>
                <w:lang w:eastAsia="es-CO"/>
              </w:rPr>
              <w:t>Porta documentos</w:t>
            </w:r>
            <w:r w:rsidRPr="00853EB6">
              <w:rPr>
                <w:rFonts w:ascii="Arial" w:eastAsia="Times New Roman" w:hAnsi="Arial" w:cs="Arial"/>
                <w:sz w:val="16"/>
                <w:szCs w:val="16"/>
                <w:lang w:eastAsia="es-CO"/>
              </w:rPr>
              <w:t>, no corresponde a los elementos adquiridos en la orden, así mismo, dicho elemento tiene asignado valores unitarios diferentes.</w:t>
            </w:r>
          </w:p>
        </w:tc>
        <w:tc>
          <w:tcPr>
            <w:tcW w:w="1412" w:type="dxa"/>
            <w:shd w:val="clear" w:color="000000" w:fill="FFFFFF"/>
            <w:hideMark/>
          </w:tcPr>
          <w:p w14:paraId="64AA63B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Inobservancia del procedimiento FGN-AP04-P-01 para el ingreso de bienes adquiridos.</w:t>
            </w:r>
          </w:p>
        </w:tc>
        <w:tc>
          <w:tcPr>
            <w:tcW w:w="1635" w:type="dxa"/>
            <w:shd w:val="clear" w:color="000000" w:fill="FFFFFF"/>
            <w:hideMark/>
          </w:tcPr>
          <w:p w14:paraId="2E941605" w14:textId="28D1DAAC"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Validar siempre los </w:t>
            </w:r>
            <w:r w:rsidR="00862168" w:rsidRPr="00853EB6">
              <w:rPr>
                <w:rFonts w:ascii="Arial" w:eastAsia="Times New Roman" w:hAnsi="Arial" w:cs="Arial"/>
                <w:sz w:val="16"/>
                <w:szCs w:val="16"/>
                <w:lang w:eastAsia="es-CO"/>
              </w:rPr>
              <w:t>códigos</w:t>
            </w:r>
            <w:r w:rsidRPr="00853EB6">
              <w:rPr>
                <w:rFonts w:ascii="Arial" w:eastAsia="Times New Roman" w:hAnsi="Arial" w:cs="Arial"/>
                <w:sz w:val="16"/>
                <w:szCs w:val="16"/>
                <w:lang w:eastAsia="es-CO"/>
              </w:rPr>
              <w:t xml:space="preserve"> con la </w:t>
            </w:r>
            <w:r w:rsidR="00862168" w:rsidRPr="00853EB6">
              <w:rPr>
                <w:rFonts w:ascii="Arial" w:eastAsia="Times New Roman" w:hAnsi="Arial" w:cs="Arial"/>
                <w:sz w:val="16"/>
                <w:szCs w:val="16"/>
                <w:lang w:eastAsia="es-CO"/>
              </w:rPr>
              <w:t>denominación</w:t>
            </w:r>
            <w:r w:rsidRPr="00853EB6">
              <w:rPr>
                <w:rFonts w:ascii="Arial" w:eastAsia="Times New Roman" w:hAnsi="Arial" w:cs="Arial"/>
                <w:sz w:val="16"/>
                <w:szCs w:val="16"/>
                <w:lang w:eastAsia="es-CO"/>
              </w:rPr>
              <w:t xml:space="preserve"> en SIAF de los bienes a ingresar en el </w:t>
            </w:r>
            <w:r w:rsidR="00862168" w:rsidRPr="00853EB6">
              <w:rPr>
                <w:rFonts w:ascii="Arial" w:eastAsia="Times New Roman" w:hAnsi="Arial" w:cs="Arial"/>
                <w:sz w:val="16"/>
                <w:szCs w:val="16"/>
                <w:lang w:eastAsia="es-CO"/>
              </w:rPr>
              <w:t>almacén</w:t>
            </w:r>
            <w:r w:rsidRPr="00853EB6">
              <w:rPr>
                <w:rFonts w:ascii="Arial" w:eastAsia="Times New Roman" w:hAnsi="Arial" w:cs="Arial"/>
                <w:sz w:val="16"/>
                <w:szCs w:val="16"/>
                <w:lang w:eastAsia="es-CO"/>
              </w:rPr>
              <w:t>.</w:t>
            </w:r>
          </w:p>
        </w:tc>
        <w:tc>
          <w:tcPr>
            <w:tcW w:w="1910" w:type="dxa"/>
            <w:shd w:val="clear" w:color="000000" w:fill="FFFFFF"/>
            <w:hideMark/>
          </w:tcPr>
          <w:p w14:paraId="40000B5D" w14:textId="4F1E2B26"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Oficio del supervisor del contrato donde se informe el tipo de bien adquirido y verificar en el ingreso de </w:t>
            </w:r>
            <w:r w:rsidR="00862168" w:rsidRPr="00853EB6">
              <w:rPr>
                <w:rFonts w:ascii="Arial" w:eastAsia="Times New Roman" w:hAnsi="Arial" w:cs="Arial"/>
                <w:sz w:val="16"/>
                <w:szCs w:val="16"/>
                <w:lang w:eastAsia="es-CO"/>
              </w:rPr>
              <w:t>almacén</w:t>
            </w:r>
            <w:r w:rsidRPr="00853EB6">
              <w:rPr>
                <w:rFonts w:ascii="Arial" w:eastAsia="Times New Roman" w:hAnsi="Arial" w:cs="Arial"/>
                <w:sz w:val="16"/>
                <w:szCs w:val="16"/>
                <w:lang w:eastAsia="es-CO"/>
              </w:rPr>
              <w:t xml:space="preserve"> que los </w:t>
            </w:r>
            <w:r w:rsidR="00862168" w:rsidRPr="00853EB6">
              <w:rPr>
                <w:rFonts w:ascii="Arial" w:eastAsia="Times New Roman" w:hAnsi="Arial" w:cs="Arial"/>
                <w:sz w:val="16"/>
                <w:szCs w:val="16"/>
                <w:lang w:eastAsia="es-CO"/>
              </w:rPr>
              <w:t>códigos</w:t>
            </w:r>
            <w:r w:rsidRPr="00853EB6">
              <w:rPr>
                <w:rFonts w:ascii="Arial" w:eastAsia="Times New Roman" w:hAnsi="Arial" w:cs="Arial"/>
                <w:sz w:val="16"/>
                <w:szCs w:val="16"/>
                <w:lang w:eastAsia="es-CO"/>
              </w:rPr>
              <w:t xml:space="preserve"> correspondan a los bienes adquiridos para tramite de pago colocando visto bueno al documento.</w:t>
            </w:r>
          </w:p>
        </w:tc>
        <w:tc>
          <w:tcPr>
            <w:tcW w:w="1403" w:type="dxa"/>
            <w:shd w:val="clear" w:color="000000" w:fill="FFFFFF"/>
            <w:hideMark/>
          </w:tcPr>
          <w:p w14:paraId="5CC0D1C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verificación</w:t>
            </w:r>
          </w:p>
        </w:tc>
        <w:tc>
          <w:tcPr>
            <w:tcW w:w="692" w:type="dxa"/>
            <w:shd w:val="clear" w:color="000000" w:fill="FFFFFF"/>
            <w:hideMark/>
          </w:tcPr>
          <w:p w14:paraId="6C3C3B0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5DB1217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1/07/2021</w:t>
            </w:r>
          </w:p>
        </w:tc>
        <w:tc>
          <w:tcPr>
            <w:tcW w:w="1047" w:type="dxa"/>
            <w:shd w:val="clear" w:color="000000" w:fill="FFFFFF"/>
            <w:hideMark/>
          </w:tcPr>
          <w:p w14:paraId="6F5D5C0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31/08/2021</w:t>
            </w:r>
          </w:p>
        </w:tc>
        <w:tc>
          <w:tcPr>
            <w:tcW w:w="879" w:type="dxa"/>
            <w:shd w:val="clear" w:color="000000" w:fill="FFFFFF"/>
            <w:hideMark/>
          </w:tcPr>
          <w:p w14:paraId="1C162DEE"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19ECCF3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41C0CC3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31-12-21 se evidenció oficios Jefe Bienes 30940, 30940-007 y 30940-001 del 7-10-21, 12-11-21 y 11-01-22 donde informan que verificaron aleatoriamente los códigos de los elementos registrados corresponden a los elementos adquiridos, en las EA 363 y 461 1er </w:t>
            </w:r>
            <w:proofErr w:type="gramStart"/>
            <w:r w:rsidRPr="00853EB6">
              <w:rPr>
                <w:rFonts w:ascii="Arial" w:eastAsia="Times New Roman" w:hAnsi="Arial" w:cs="Arial"/>
                <w:sz w:val="16"/>
                <w:szCs w:val="16"/>
                <w:lang w:eastAsia="es-CO"/>
              </w:rPr>
              <w:t>informe;  EA</w:t>
            </w:r>
            <w:proofErr w:type="gramEnd"/>
            <w:r w:rsidRPr="00853EB6">
              <w:rPr>
                <w:rFonts w:ascii="Arial" w:eastAsia="Times New Roman" w:hAnsi="Arial" w:cs="Arial"/>
                <w:sz w:val="16"/>
                <w:szCs w:val="16"/>
                <w:lang w:eastAsia="es-CO"/>
              </w:rPr>
              <w:t xml:space="preserve"> 478 y 485 2do informe; y EA 610, 611, 635 y 638 3er informe. Se adjuntan las ordenes de ingreso al almacén y facturas.</w:t>
            </w:r>
          </w:p>
        </w:tc>
      </w:tr>
      <w:tr w:rsidR="00853EB6" w:rsidRPr="00853EB6" w14:paraId="50776D04" w14:textId="77777777" w:rsidTr="00853EB6">
        <w:trPr>
          <w:trHeight w:val="2805"/>
        </w:trPr>
        <w:tc>
          <w:tcPr>
            <w:tcW w:w="2684" w:type="dxa"/>
            <w:shd w:val="clear" w:color="000000" w:fill="FFFFFF"/>
            <w:vAlign w:val="center"/>
            <w:hideMark/>
          </w:tcPr>
          <w:p w14:paraId="7893780F" w14:textId="2671B310"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No.40. Orden Compra 51965 de 2020 - Entrada elementos.</w:t>
            </w:r>
            <w:r w:rsidRPr="00853EB6">
              <w:rPr>
                <w:rFonts w:ascii="Arial" w:eastAsia="Times New Roman" w:hAnsi="Arial" w:cs="Arial"/>
                <w:sz w:val="16"/>
                <w:szCs w:val="16"/>
                <w:lang w:eastAsia="es-CO"/>
              </w:rPr>
              <w:t xml:space="preserve"> El comprobante de entrada No 209 del 14-08-2020 de la Orden de Compra 51965, se evidenció inconsistencias en los elementos ingresados, el elemento 115014001 cuya descripción es Billetera </w:t>
            </w:r>
            <w:r w:rsidR="00862168" w:rsidRPr="00853EB6">
              <w:rPr>
                <w:rFonts w:ascii="Arial" w:eastAsia="Times New Roman" w:hAnsi="Arial" w:cs="Arial"/>
                <w:sz w:val="16"/>
                <w:szCs w:val="16"/>
                <w:lang w:eastAsia="es-CO"/>
              </w:rPr>
              <w:t>Porta documentos</w:t>
            </w:r>
            <w:r w:rsidRPr="00853EB6">
              <w:rPr>
                <w:rFonts w:ascii="Arial" w:eastAsia="Times New Roman" w:hAnsi="Arial" w:cs="Arial"/>
                <w:sz w:val="16"/>
                <w:szCs w:val="16"/>
                <w:lang w:eastAsia="es-CO"/>
              </w:rPr>
              <w:t>, no corresponde a los elementos adquiridos en la orden, así mismo, dicho elemento tiene asignado valores unitarios diferentes.</w:t>
            </w:r>
          </w:p>
        </w:tc>
        <w:tc>
          <w:tcPr>
            <w:tcW w:w="1412" w:type="dxa"/>
            <w:shd w:val="clear" w:color="000000" w:fill="FFFFFF"/>
            <w:hideMark/>
          </w:tcPr>
          <w:p w14:paraId="4C71C94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Inobservancia del procedimiento FGN-AP04-P-01 para el ingreso de bienes adquiridos.</w:t>
            </w:r>
          </w:p>
        </w:tc>
        <w:tc>
          <w:tcPr>
            <w:tcW w:w="1635" w:type="dxa"/>
            <w:shd w:val="clear" w:color="000000" w:fill="FFFFFF"/>
            <w:hideMark/>
          </w:tcPr>
          <w:p w14:paraId="5B399EDB" w14:textId="2A4930EC"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Validar siempre los </w:t>
            </w:r>
            <w:r w:rsidR="00862168" w:rsidRPr="00853EB6">
              <w:rPr>
                <w:rFonts w:ascii="Arial" w:eastAsia="Times New Roman" w:hAnsi="Arial" w:cs="Arial"/>
                <w:sz w:val="16"/>
                <w:szCs w:val="16"/>
                <w:lang w:eastAsia="es-CO"/>
              </w:rPr>
              <w:t>códigos</w:t>
            </w:r>
            <w:r w:rsidRPr="00853EB6">
              <w:rPr>
                <w:rFonts w:ascii="Arial" w:eastAsia="Times New Roman" w:hAnsi="Arial" w:cs="Arial"/>
                <w:sz w:val="16"/>
                <w:szCs w:val="16"/>
                <w:lang w:eastAsia="es-CO"/>
              </w:rPr>
              <w:t xml:space="preserve"> con la </w:t>
            </w:r>
            <w:r w:rsidR="00862168" w:rsidRPr="00853EB6">
              <w:rPr>
                <w:rFonts w:ascii="Arial" w:eastAsia="Times New Roman" w:hAnsi="Arial" w:cs="Arial"/>
                <w:sz w:val="16"/>
                <w:szCs w:val="16"/>
                <w:lang w:eastAsia="es-CO"/>
              </w:rPr>
              <w:t>denominación</w:t>
            </w:r>
            <w:r w:rsidRPr="00853EB6">
              <w:rPr>
                <w:rFonts w:ascii="Arial" w:eastAsia="Times New Roman" w:hAnsi="Arial" w:cs="Arial"/>
                <w:sz w:val="16"/>
                <w:szCs w:val="16"/>
                <w:lang w:eastAsia="es-CO"/>
              </w:rPr>
              <w:t xml:space="preserve"> en SIAF de los bienes a ingresar en el </w:t>
            </w:r>
            <w:r w:rsidR="00862168" w:rsidRPr="00853EB6">
              <w:rPr>
                <w:rFonts w:ascii="Arial" w:eastAsia="Times New Roman" w:hAnsi="Arial" w:cs="Arial"/>
                <w:sz w:val="16"/>
                <w:szCs w:val="16"/>
                <w:lang w:eastAsia="es-CO"/>
              </w:rPr>
              <w:t>almacén</w:t>
            </w:r>
            <w:r w:rsidRPr="00853EB6">
              <w:rPr>
                <w:rFonts w:ascii="Arial" w:eastAsia="Times New Roman" w:hAnsi="Arial" w:cs="Arial"/>
                <w:sz w:val="16"/>
                <w:szCs w:val="16"/>
                <w:lang w:eastAsia="es-CO"/>
              </w:rPr>
              <w:t>.</w:t>
            </w:r>
          </w:p>
        </w:tc>
        <w:tc>
          <w:tcPr>
            <w:tcW w:w="1910" w:type="dxa"/>
            <w:shd w:val="clear" w:color="000000" w:fill="FFFFFF"/>
            <w:hideMark/>
          </w:tcPr>
          <w:p w14:paraId="52145864" w14:textId="61D6BEC5" w:rsidR="00853EB6" w:rsidRPr="00853EB6" w:rsidRDefault="00862168"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Verificación</w:t>
            </w:r>
            <w:r w:rsidR="00853EB6" w:rsidRPr="00853EB6">
              <w:rPr>
                <w:rFonts w:ascii="Arial" w:eastAsia="Times New Roman" w:hAnsi="Arial" w:cs="Arial"/>
                <w:sz w:val="16"/>
                <w:szCs w:val="16"/>
                <w:lang w:eastAsia="es-CO"/>
              </w:rPr>
              <w:t xml:space="preserve"> bimestral aleatoria a los códigos de los elementos registrados en las entradas efectuadas.</w:t>
            </w:r>
          </w:p>
        </w:tc>
        <w:tc>
          <w:tcPr>
            <w:tcW w:w="1403" w:type="dxa"/>
            <w:shd w:val="clear" w:color="000000" w:fill="FFFFFF"/>
            <w:hideMark/>
          </w:tcPr>
          <w:p w14:paraId="718FE7F1"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bimestral de verificación aleatoria</w:t>
            </w:r>
          </w:p>
        </w:tc>
        <w:tc>
          <w:tcPr>
            <w:tcW w:w="692" w:type="dxa"/>
            <w:shd w:val="clear" w:color="000000" w:fill="FFFFFF"/>
            <w:hideMark/>
          </w:tcPr>
          <w:p w14:paraId="38C1ECC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02A6762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2/08/2021</w:t>
            </w:r>
          </w:p>
        </w:tc>
        <w:tc>
          <w:tcPr>
            <w:tcW w:w="1047" w:type="dxa"/>
            <w:shd w:val="clear" w:color="000000" w:fill="FFFFFF"/>
            <w:hideMark/>
          </w:tcPr>
          <w:p w14:paraId="47105FE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29/07/2022</w:t>
            </w:r>
          </w:p>
        </w:tc>
        <w:tc>
          <w:tcPr>
            <w:tcW w:w="879" w:type="dxa"/>
            <w:shd w:val="clear" w:color="000000" w:fill="FFFFFF"/>
            <w:hideMark/>
          </w:tcPr>
          <w:p w14:paraId="77220609"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6F4E769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3D1457C1" w14:textId="61C11559"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31-12-2022 se evidenció oficio por parte del almacenista 30940-0171 del 27-07-2022 de verificación aleatoria de </w:t>
            </w:r>
            <w:r w:rsidR="00862168" w:rsidRPr="00853EB6">
              <w:rPr>
                <w:rFonts w:ascii="Arial" w:eastAsia="Times New Roman" w:hAnsi="Arial" w:cs="Arial"/>
                <w:sz w:val="16"/>
                <w:szCs w:val="16"/>
                <w:lang w:eastAsia="es-CO"/>
              </w:rPr>
              <w:t>códigos</w:t>
            </w:r>
            <w:r w:rsidRPr="00853EB6">
              <w:rPr>
                <w:rFonts w:ascii="Arial" w:eastAsia="Times New Roman" w:hAnsi="Arial" w:cs="Arial"/>
                <w:sz w:val="16"/>
                <w:szCs w:val="16"/>
                <w:lang w:eastAsia="es-CO"/>
              </w:rPr>
              <w:t xml:space="preserve"> de los elementos de las EA 2214 del 10-05-2022 y EA 343 del 22-06-2022, correspondiente al 6to y último informe completando el total de la unidad de medida propuesta. Adjuntan las órdenes de ingreso al almacén y facturas.</w:t>
            </w:r>
          </w:p>
        </w:tc>
      </w:tr>
      <w:tr w:rsidR="00853EB6" w:rsidRPr="00853EB6" w14:paraId="7DE5BC09" w14:textId="77777777" w:rsidTr="00853EB6">
        <w:trPr>
          <w:trHeight w:val="2550"/>
        </w:trPr>
        <w:tc>
          <w:tcPr>
            <w:tcW w:w="2684" w:type="dxa"/>
            <w:shd w:val="clear" w:color="000000" w:fill="FFFFFF"/>
            <w:vAlign w:val="center"/>
            <w:hideMark/>
          </w:tcPr>
          <w:p w14:paraId="185B310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No.41. Legalización bonos combustible.</w:t>
            </w:r>
            <w:r w:rsidRPr="00853EB6">
              <w:rPr>
                <w:rFonts w:ascii="Arial" w:eastAsia="Times New Roman" w:hAnsi="Arial" w:cs="Arial"/>
                <w:sz w:val="16"/>
                <w:szCs w:val="16"/>
                <w:lang w:eastAsia="es-CO"/>
              </w:rPr>
              <w:t xml:space="preserve"> En las órdenes de pedido de la estación de servicio omiten diligenciar nombre conductor, </w:t>
            </w:r>
            <w:proofErr w:type="spellStart"/>
            <w:r w:rsidRPr="00853EB6">
              <w:rPr>
                <w:rFonts w:ascii="Arial" w:eastAsia="Times New Roman" w:hAnsi="Arial" w:cs="Arial"/>
                <w:sz w:val="16"/>
                <w:szCs w:val="16"/>
                <w:lang w:eastAsia="es-CO"/>
              </w:rPr>
              <w:t>cant</w:t>
            </w:r>
            <w:proofErr w:type="spellEnd"/>
            <w:r w:rsidRPr="00853EB6">
              <w:rPr>
                <w:rFonts w:ascii="Arial" w:eastAsia="Times New Roman" w:hAnsi="Arial" w:cs="Arial"/>
                <w:sz w:val="16"/>
                <w:szCs w:val="16"/>
                <w:lang w:eastAsia="es-CO"/>
              </w:rPr>
              <w:t xml:space="preserve">. y tipo combustible y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xml:space="preserve"> unitario. Igualmente, para la legalización del 19-May-20 del vehículo placas DMX225, en las órdenes de pedido 2151 a 2157 no se diligencia fecha, nombre conductor, placas, kilometraje, </w:t>
            </w:r>
            <w:proofErr w:type="spellStart"/>
            <w:r w:rsidRPr="00853EB6">
              <w:rPr>
                <w:rFonts w:ascii="Arial" w:eastAsia="Times New Roman" w:hAnsi="Arial" w:cs="Arial"/>
                <w:sz w:val="16"/>
                <w:szCs w:val="16"/>
                <w:lang w:eastAsia="es-CO"/>
              </w:rPr>
              <w:t>cant</w:t>
            </w:r>
            <w:proofErr w:type="spellEnd"/>
            <w:r w:rsidRPr="00853EB6">
              <w:rPr>
                <w:rFonts w:ascii="Arial" w:eastAsia="Times New Roman" w:hAnsi="Arial" w:cs="Arial"/>
                <w:sz w:val="16"/>
                <w:szCs w:val="16"/>
                <w:lang w:eastAsia="es-CO"/>
              </w:rPr>
              <w:t xml:space="preserve">. y tipo combustible y </w:t>
            </w:r>
            <w:proofErr w:type="spellStart"/>
            <w:r w:rsidRPr="00853EB6">
              <w:rPr>
                <w:rFonts w:ascii="Arial" w:eastAsia="Times New Roman" w:hAnsi="Arial" w:cs="Arial"/>
                <w:sz w:val="16"/>
                <w:szCs w:val="16"/>
                <w:lang w:eastAsia="es-CO"/>
              </w:rPr>
              <w:t>vr</w:t>
            </w:r>
            <w:proofErr w:type="spellEnd"/>
            <w:r w:rsidRPr="00853EB6">
              <w:rPr>
                <w:rFonts w:ascii="Arial" w:eastAsia="Times New Roman" w:hAnsi="Arial" w:cs="Arial"/>
                <w:sz w:val="16"/>
                <w:szCs w:val="16"/>
                <w:lang w:eastAsia="es-CO"/>
              </w:rPr>
              <w:t xml:space="preserve"> unitario.</w:t>
            </w:r>
          </w:p>
        </w:tc>
        <w:tc>
          <w:tcPr>
            <w:tcW w:w="1412" w:type="dxa"/>
            <w:shd w:val="clear" w:color="000000" w:fill="FFFFFF"/>
            <w:hideMark/>
          </w:tcPr>
          <w:p w14:paraId="7D74144E"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Inobservancia del proceso gestión de bienes - guía suministro y control de combustible (FGN-AP04-G-18) y por deficiencias en la ejecución de las actividades para la verificación y legalización del suministro de combustibles.</w:t>
            </w:r>
          </w:p>
        </w:tc>
        <w:tc>
          <w:tcPr>
            <w:tcW w:w="1635" w:type="dxa"/>
            <w:shd w:val="clear" w:color="000000" w:fill="FFFFFF"/>
            <w:hideMark/>
          </w:tcPr>
          <w:p w14:paraId="3D12990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Revisar al momento de legalización de los bonos que todos los formatos estén diligenciados.</w:t>
            </w:r>
          </w:p>
        </w:tc>
        <w:tc>
          <w:tcPr>
            <w:tcW w:w="1910" w:type="dxa"/>
            <w:shd w:val="clear" w:color="000000" w:fill="FFFFFF"/>
            <w:hideMark/>
          </w:tcPr>
          <w:p w14:paraId="44738D38" w14:textId="45B92176"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Presentar informe a la </w:t>
            </w:r>
            <w:r w:rsidR="00862168" w:rsidRPr="00853EB6">
              <w:rPr>
                <w:rFonts w:ascii="Arial" w:eastAsia="Times New Roman" w:hAnsi="Arial" w:cs="Arial"/>
                <w:sz w:val="16"/>
                <w:szCs w:val="16"/>
                <w:lang w:eastAsia="es-CO"/>
              </w:rPr>
              <w:t>Subdirección</w:t>
            </w:r>
            <w:r w:rsidRPr="00853EB6">
              <w:rPr>
                <w:rFonts w:ascii="Arial" w:eastAsia="Times New Roman" w:hAnsi="Arial" w:cs="Arial"/>
                <w:sz w:val="16"/>
                <w:szCs w:val="16"/>
                <w:lang w:eastAsia="es-CO"/>
              </w:rPr>
              <w:t xml:space="preserve"> Regional dónde se evidencie la verificación del diligenciamiento de los formatos de legalización de bonos.</w:t>
            </w:r>
          </w:p>
        </w:tc>
        <w:tc>
          <w:tcPr>
            <w:tcW w:w="1403" w:type="dxa"/>
            <w:shd w:val="clear" w:color="000000" w:fill="FFFFFF"/>
            <w:hideMark/>
          </w:tcPr>
          <w:p w14:paraId="1FFD749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Informes</w:t>
            </w:r>
          </w:p>
        </w:tc>
        <w:tc>
          <w:tcPr>
            <w:tcW w:w="692" w:type="dxa"/>
            <w:shd w:val="clear" w:color="000000" w:fill="FFFFFF"/>
            <w:hideMark/>
          </w:tcPr>
          <w:p w14:paraId="596D7C4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12</w:t>
            </w:r>
          </w:p>
        </w:tc>
        <w:tc>
          <w:tcPr>
            <w:tcW w:w="941" w:type="dxa"/>
            <w:shd w:val="clear" w:color="000000" w:fill="FFFFFF"/>
            <w:hideMark/>
          </w:tcPr>
          <w:p w14:paraId="5845599A"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19/07/2021</w:t>
            </w:r>
          </w:p>
        </w:tc>
        <w:tc>
          <w:tcPr>
            <w:tcW w:w="1047" w:type="dxa"/>
            <w:shd w:val="clear" w:color="000000" w:fill="FFFFFF"/>
            <w:hideMark/>
          </w:tcPr>
          <w:p w14:paraId="778B506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15/07/2022</w:t>
            </w:r>
          </w:p>
        </w:tc>
        <w:tc>
          <w:tcPr>
            <w:tcW w:w="879" w:type="dxa"/>
            <w:shd w:val="clear" w:color="000000" w:fill="FFFFFF"/>
            <w:hideMark/>
          </w:tcPr>
          <w:p w14:paraId="2980A9CB"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12</w:t>
            </w:r>
          </w:p>
        </w:tc>
        <w:tc>
          <w:tcPr>
            <w:tcW w:w="959" w:type="dxa"/>
            <w:shd w:val="clear" w:color="000000" w:fill="FFFFFF"/>
            <w:hideMark/>
          </w:tcPr>
          <w:p w14:paraId="47FE966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149D9EE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 31-12-2022 se evidenció oficio 30940135 del 06/07/2022 suscrito por el Coordinador de Transportes, informando la legalización del suministro de combustible con Tarjetas Inteligentes TICKET CAR con CHIP y códigos PIN únicos para cada automotor de junio de 2022, completando el total de la unidad de medida propuesta.</w:t>
            </w:r>
          </w:p>
        </w:tc>
      </w:tr>
      <w:tr w:rsidR="00853EB6" w:rsidRPr="00853EB6" w14:paraId="55AB6ED5" w14:textId="77777777" w:rsidTr="00853EB6">
        <w:trPr>
          <w:trHeight w:val="2640"/>
        </w:trPr>
        <w:tc>
          <w:tcPr>
            <w:tcW w:w="2684" w:type="dxa"/>
            <w:shd w:val="clear" w:color="000000" w:fill="FFFFFF"/>
            <w:vAlign w:val="center"/>
            <w:hideMark/>
          </w:tcPr>
          <w:p w14:paraId="73AB2537" w14:textId="0CB1C75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H. 6 – Acta inicio APP  0202 del 24-12-21. A abril 2022 la FGN y el Concesionario no han suscrito el acta de inicio para la sede en Cali; a su vez la FGN no la ha conminado a cumplir las actividades para su suscripción, </w:t>
            </w:r>
            <w:r w:rsidR="00862168" w:rsidRPr="00853EB6">
              <w:rPr>
                <w:rFonts w:ascii="Arial" w:eastAsia="Times New Roman" w:hAnsi="Arial" w:cs="Arial"/>
                <w:sz w:val="16"/>
                <w:szCs w:val="16"/>
                <w:lang w:eastAsia="es-CO"/>
              </w:rPr>
              <w:t>a pesar de que</w:t>
            </w:r>
            <w:r w:rsidRPr="00853EB6">
              <w:rPr>
                <w:rFonts w:ascii="Arial" w:eastAsia="Times New Roman" w:hAnsi="Arial" w:cs="Arial"/>
                <w:sz w:val="16"/>
                <w:szCs w:val="16"/>
                <w:lang w:eastAsia="es-CO"/>
              </w:rPr>
              <w:t xml:space="preserve"> el literal (a) del numeral “15.2 Eventos Generadores de Imposición de Multas”, establece la imposición de multa por no suscribir acta de inicio</w:t>
            </w:r>
          </w:p>
        </w:tc>
        <w:tc>
          <w:tcPr>
            <w:tcW w:w="1412" w:type="dxa"/>
            <w:shd w:val="clear" w:color="000000" w:fill="FFFFFF"/>
            <w:hideMark/>
          </w:tcPr>
          <w:p w14:paraId="07BFB3E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la supervisión del contrato, al no exigir al Concesionario el cabal cumplimiento de los requisitos necesarios para la suscripción del acta de inicio.</w:t>
            </w:r>
          </w:p>
        </w:tc>
        <w:tc>
          <w:tcPr>
            <w:tcW w:w="1635" w:type="dxa"/>
            <w:shd w:val="clear" w:color="000000" w:fill="FFFFFF"/>
            <w:hideMark/>
          </w:tcPr>
          <w:p w14:paraId="32159AA1" w14:textId="40B8D5FB"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Emitir un lineamiento al interior del proceso de </w:t>
            </w:r>
            <w:r w:rsidR="00862168" w:rsidRPr="00853EB6">
              <w:rPr>
                <w:rFonts w:ascii="Arial" w:eastAsia="Times New Roman" w:hAnsi="Arial" w:cs="Arial"/>
                <w:sz w:val="16"/>
                <w:szCs w:val="16"/>
                <w:lang w:eastAsia="es-CO"/>
              </w:rPr>
              <w:t>gestión</w:t>
            </w:r>
            <w:r w:rsidRPr="00853EB6">
              <w:rPr>
                <w:rFonts w:ascii="Arial" w:eastAsia="Times New Roman" w:hAnsi="Arial" w:cs="Arial"/>
                <w:sz w:val="16"/>
                <w:szCs w:val="16"/>
                <w:lang w:eastAsia="es-CO"/>
              </w:rPr>
              <w:t xml:space="preserve"> Contractual.</w:t>
            </w:r>
          </w:p>
        </w:tc>
        <w:tc>
          <w:tcPr>
            <w:tcW w:w="1910" w:type="dxa"/>
            <w:shd w:val="clear" w:color="000000" w:fill="FFFFFF"/>
            <w:hideMark/>
          </w:tcPr>
          <w:p w14:paraId="20DBDDB9" w14:textId="764C0B95"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Emitir lineamientos a nivel nacional para </w:t>
            </w:r>
            <w:r w:rsidR="00862168" w:rsidRPr="00853EB6">
              <w:rPr>
                <w:rFonts w:ascii="Arial" w:eastAsia="Times New Roman" w:hAnsi="Arial" w:cs="Arial"/>
                <w:sz w:val="16"/>
                <w:szCs w:val="16"/>
                <w:lang w:eastAsia="es-CO"/>
              </w:rPr>
              <w:t>que,</w:t>
            </w:r>
            <w:r w:rsidRPr="00853EB6">
              <w:rPr>
                <w:rFonts w:ascii="Arial" w:eastAsia="Times New Roman" w:hAnsi="Arial" w:cs="Arial"/>
                <w:sz w:val="16"/>
                <w:szCs w:val="16"/>
                <w:lang w:eastAsia="es-CO"/>
              </w:rPr>
              <w:t xml:space="preserve"> en el oficio de designación de supervisión, se adicione la </w:t>
            </w:r>
            <w:r w:rsidR="00862168" w:rsidRPr="00853EB6">
              <w:rPr>
                <w:rFonts w:ascii="Arial" w:eastAsia="Times New Roman" w:hAnsi="Arial" w:cs="Arial"/>
                <w:sz w:val="16"/>
                <w:szCs w:val="16"/>
                <w:lang w:eastAsia="es-CO"/>
              </w:rPr>
              <w:t>obligación</w:t>
            </w:r>
            <w:r w:rsidRPr="00853EB6">
              <w:rPr>
                <w:rFonts w:ascii="Arial" w:eastAsia="Times New Roman" w:hAnsi="Arial" w:cs="Arial"/>
                <w:sz w:val="16"/>
                <w:szCs w:val="16"/>
                <w:lang w:eastAsia="es-CO"/>
              </w:rPr>
              <w:t xml:space="preserve"> de la suscripción del Acta de Inicio de manera oportuna y en aquellos contratos </w:t>
            </w:r>
            <w:r w:rsidR="00862168" w:rsidRPr="00853EB6">
              <w:rPr>
                <w:rFonts w:ascii="Arial" w:eastAsia="Times New Roman" w:hAnsi="Arial" w:cs="Arial"/>
                <w:sz w:val="16"/>
                <w:szCs w:val="16"/>
                <w:lang w:eastAsia="es-CO"/>
              </w:rPr>
              <w:t>específicos</w:t>
            </w:r>
            <w:r w:rsidRPr="00853EB6">
              <w:rPr>
                <w:rFonts w:ascii="Arial" w:eastAsia="Times New Roman" w:hAnsi="Arial" w:cs="Arial"/>
                <w:sz w:val="16"/>
                <w:szCs w:val="16"/>
                <w:lang w:eastAsia="es-CO"/>
              </w:rPr>
              <w:t xml:space="preserve"> adicionalmente se enunciarán las condiciones especiales para la suscripción de la misma.</w:t>
            </w:r>
          </w:p>
        </w:tc>
        <w:tc>
          <w:tcPr>
            <w:tcW w:w="1403" w:type="dxa"/>
            <w:shd w:val="clear" w:color="000000" w:fill="FFFFFF"/>
            <w:hideMark/>
          </w:tcPr>
          <w:p w14:paraId="2DD5CD5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Circular, Memorando, Documento</w:t>
            </w:r>
          </w:p>
        </w:tc>
        <w:tc>
          <w:tcPr>
            <w:tcW w:w="692" w:type="dxa"/>
            <w:shd w:val="clear" w:color="000000" w:fill="FFFFFF"/>
            <w:hideMark/>
          </w:tcPr>
          <w:p w14:paraId="7E343A61"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1 </w:t>
            </w:r>
          </w:p>
        </w:tc>
        <w:tc>
          <w:tcPr>
            <w:tcW w:w="941" w:type="dxa"/>
            <w:shd w:val="clear" w:color="000000" w:fill="FFFFFF"/>
            <w:hideMark/>
          </w:tcPr>
          <w:p w14:paraId="34B0940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752B7C86"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31-ago-22</w:t>
            </w:r>
          </w:p>
        </w:tc>
        <w:tc>
          <w:tcPr>
            <w:tcW w:w="879" w:type="dxa"/>
            <w:shd w:val="clear" w:color="000000" w:fill="FFFFFF"/>
            <w:hideMark/>
          </w:tcPr>
          <w:p w14:paraId="7AB088E1"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6180232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90526B9"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 31-12-22 se evidenció: Circular 0003 del 30-08-22 radicado DE3000202226130005923 dirigida a los supervisores dando lineamiento para la suscripción del acta de inicio en los contratos donde aplique. Se socializó mediante correo electrónico del 13-09-22.</w:t>
            </w:r>
          </w:p>
        </w:tc>
      </w:tr>
      <w:tr w:rsidR="00853EB6" w:rsidRPr="00853EB6" w14:paraId="694463E3" w14:textId="77777777" w:rsidTr="00853EB6">
        <w:trPr>
          <w:trHeight w:val="2550"/>
        </w:trPr>
        <w:tc>
          <w:tcPr>
            <w:tcW w:w="2684" w:type="dxa"/>
            <w:shd w:val="clear" w:color="000000" w:fill="FFFFFF"/>
            <w:vAlign w:val="center"/>
            <w:hideMark/>
          </w:tcPr>
          <w:p w14:paraId="405B9009" w14:textId="084D879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lastRenderedPageBreak/>
              <w:t xml:space="preserve">H. 6 – Acta inicio APP  0202 del 24-12-21. A abril 2022 la FGN y el Concesionario no han suscrito el acta de inicio para la sede en Cali; a su vez la FGN no la ha conminado a cumplir las actividades para su suscripción, </w:t>
            </w:r>
            <w:r w:rsidR="00862168" w:rsidRPr="00853EB6">
              <w:rPr>
                <w:rFonts w:ascii="Arial" w:eastAsia="Times New Roman" w:hAnsi="Arial" w:cs="Arial"/>
                <w:sz w:val="16"/>
                <w:szCs w:val="16"/>
                <w:lang w:eastAsia="es-CO"/>
              </w:rPr>
              <w:t>a pesar de que</w:t>
            </w:r>
            <w:r w:rsidRPr="00853EB6">
              <w:rPr>
                <w:rFonts w:ascii="Arial" w:eastAsia="Times New Roman" w:hAnsi="Arial" w:cs="Arial"/>
                <w:sz w:val="16"/>
                <w:szCs w:val="16"/>
                <w:lang w:eastAsia="es-CO"/>
              </w:rPr>
              <w:t xml:space="preserve"> el literal (a) del numeral “15.2 Eventos Generadores de Imposición de Multas”, establece la imposición de multa por no suscribir acta de inicio</w:t>
            </w:r>
          </w:p>
        </w:tc>
        <w:tc>
          <w:tcPr>
            <w:tcW w:w="1412" w:type="dxa"/>
            <w:shd w:val="clear" w:color="000000" w:fill="FFFFFF"/>
            <w:hideMark/>
          </w:tcPr>
          <w:p w14:paraId="13B17998" w14:textId="77777777" w:rsidR="00853EB6" w:rsidRPr="00853EB6" w:rsidRDefault="00853EB6" w:rsidP="00853EB6">
            <w:pPr>
              <w:rPr>
                <w:rFonts w:ascii="Arial" w:eastAsia="Times New Roman" w:hAnsi="Arial" w:cs="Arial"/>
                <w:sz w:val="16"/>
                <w:szCs w:val="16"/>
                <w:lang w:eastAsia="es-CO"/>
              </w:rPr>
            </w:pPr>
            <w:r w:rsidRPr="00853EB6">
              <w:rPr>
                <w:rFonts w:ascii="Arial" w:eastAsia="Times New Roman" w:hAnsi="Arial" w:cs="Arial"/>
                <w:sz w:val="16"/>
                <w:szCs w:val="16"/>
                <w:lang w:eastAsia="es-CO"/>
              </w:rPr>
              <w:t>Inconsistencias en la información contenida en el plan parcial del Distrito de Santiago de Cali, con referencia a las áreas del predio donde se desarrollará el proyecto de la sede de la FGN en esa ciudad.</w:t>
            </w:r>
          </w:p>
        </w:tc>
        <w:tc>
          <w:tcPr>
            <w:tcW w:w="1635" w:type="dxa"/>
            <w:shd w:val="clear" w:color="000000" w:fill="FFFFFF"/>
            <w:hideMark/>
          </w:tcPr>
          <w:p w14:paraId="02F5A1B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Establecer mecanismo de control para mitigar errores en el proceso</w:t>
            </w:r>
          </w:p>
        </w:tc>
        <w:tc>
          <w:tcPr>
            <w:tcW w:w="1910" w:type="dxa"/>
            <w:shd w:val="clear" w:color="000000" w:fill="FFFFFF"/>
            <w:hideMark/>
          </w:tcPr>
          <w:p w14:paraId="67B5C4B2" w14:textId="3D6B5A6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br/>
              <w:t xml:space="preserve">Crear e implementar una lista de chequeo de acuerdo a la modalidad de </w:t>
            </w:r>
            <w:r w:rsidR="00862168" w:rsidRPr="00853EB6">
              <w:rPr>
                <w:rFonts w:ascii="Arial" w:eastAsia="Times New Roman" w:hAnsi="Arial" w:cs="Arial"/>
                <w:sz w:val="16"/>
                <w:szCs w:val="16"/>
                <w:lang w:eastAsia="es-CO"/>
              </w:rPr>
              <w:t>contratación</w:t>
            </w:r>
            <w:r w:rsidRPr="00853EB6">
              <w:rPr>
                <w:rFonts w:ascii="Arial" w:eastAsia="Times New Roman" w:hAnsi="Arial" w:cs="Arial"/>
                <w:sz w:val="16"/>
                <w:szCs w:val="16"/>
                <w:lang w:eastAsia="es-CO"/>
              </w:rPr>
              <w:t xml:space="preserve"> con el fin de determinar los requisitos previos para la firma del acta de inicio.</w:t>
            </w:r>
          </w:p>
        </w:tc>
        <w:tc>
          <w:tcPr>
            <w:tcW w:w="1403" w:type="dxa"/>
            <w:shd w:val="clear" w:color="000000" w:fill="FFFFFF"/>
            <w:hideMark/>
          </w:tcPr>
          <w:p w14:paraId="4347CBD0" w14:textId="181B272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Documento (Formato </w:t>
            </w:r>
            <w:proofErr w:type="spellStart"/>
            <w:r w:rsidR="00862168" w:rsidRPr="00853EB6">
              <w:rPr>
                <w:rFonts w:ascii="Arial" w:eastAsia="Times New Roman" w:hAnsi="Arial" w:cs="Arial"/>
                <w:sz w:val="16"/>
                <w:szCs w:val="16"/>
                <w:lang w:eastAsia="es-CO"/>
              </w:rPr>
              <w:t>facilitativos</w:t>
            </w:r>
            <w:proofErr w:type="spellEnd"/>
            <w:r w:rsidRPr="00853EB6">
              <w:rPr>
                <w:rFonts w:ascii="Arial" w:eastAsia="Times New Roman" w:hAnsi="Arial" w:cs="Arial"/>
                <w:sz w:val="16"/>
                <w:szCs w:val="16"/>
                <w:lang w:eastAsia="es-CO"/>
              </w:rPr>
              <w:t>-lista de chequeo)</w:t>
            </w:r>
          </w:p>
        </w:tc>
        <w:tc>
          <w:tcPr>
            <w:tcW w:w="692" w:type="dxa"/>
            <w:shd w:val="clear" w:color="000000" w:fill="FFFFFF"/>
            <w:hideMark/>
          </w:tcPr>
          <w:p w14:paraId="3462BAA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2 </w:t>
            </w:r>
          </w:p>
        </w:tc>
        <w:tc>
          <w:tcPr>
            <w:tcW w:w="941" w:type="dxa"/>
            <w:shd w:val="clear" w:color="000000" w:fill="FFFFFF"/>
            <w:hideMark/>
          </w:tcPr>
          <w:p w14:paraId="4A9FC5E7"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6E7806F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1-jul-23</w:t>
            </w:r>
          </w:p>
        </w:tc>
        <w:tc>
          <w:tcPr>
            <w:tcW w:w="879" w:type="dxa"/>
            <w:shd w:val="clear" w:color="000000" w:fill="FFFFFF"/>
            <w:hideMark/>
          </w:tcPr>
          <w:p w14:paraId="2CAEB9F8"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2</w:t>
            </w:r>
          </w:p>
        </w:tc>
        <w:tc>
          <w:tcPr>
            <w:tcW w:w="959" w:type="dxa"/>
            <w:shd w:val="clear" w:color="000000" w:fill="FFFFFF"/>
            <w:hideMark/>
          </w:tcPr>
          <w:p w14:paraId="46213244"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6ED129F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31-12-22 se evidenció: Correo del 17-11-2022 enviado a la Subdirección Contractual para la implementación de dos formatos </w:t>
            </w:r>
            <w:proofErr w:type="spellStart"/>
            <w:r w:rsidRPr="00853EB6">
              <w:rPr>
                <w:rFonts w:ascii="Arial" w:eastAsia="Times New Roman" w:hAnsi="Arial" w:cs="Arial"/>
                <w:sz w:val="16"/>
                <w:szCs w:val="16"/>
                <w:lang w:eastAsia="es-CO"/>
              </w:rPr>
              <w:t>facilitativos</w:t>
            </w:r>
            <w:proofErr w:type="spellEnd"/>
            <w:r w:rsidRPr="00853EB6">
              <w:rPr>
                <w:rFonts w:ascii="Arial" w:eastAsia="Times New Roman" w:hAnsi="Arial" w:cs="Arial"/>
                <w:sz w:val="16"/>
                <w:szCs w:val="16"/>
                <w:lang w:eastAsia="es-CO"/>
              </w:rPr>
              <w:t>: Acta de entrega y recibo de obra y Lista de Chequeo para firma de acta de inicio, los cuales ya se están aplicando de manera no formal.</w:t>
            </w:r>
          </w:p>
        </w:tc>
      </w:tr>
      <w:tr w:rsidR="00853EB6" w:rsidRPr="00853EB6" w14:paraId="4B3E11BF" w14:textId="77777777" w:rsidTr="00E50A1F">
        <w:trPr>
          <w:trHeight w:val="1875"/>
        </w:trPr>
        <w:tc>
          <w:tcPr>
            <w:tcW w:w="2684" w:type="dxa"/>
            <w:shd w:val="clear" w:color="000000" w:fill="FFFFFF"/>
            <w:vAlign w:val="center"/>
            <w:hideMark/>
          </w:tcPr>
          <w:p w14:paraId="47A69D2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br/>
              <w:t xml:space="preserve">H. 20 Bienes no explotados. A 31-12-2021 no se registró en la </w:t>
            </w:r>
            <w:proofErr w:type="spellStart"/>
            <w:r w:rsidRPr="00853EB6">
              <w:rPr>
                <w:rFonts w:ascii="Arial" w:eastAsia="Times New Roman" w:hAnsi="Arial" w:cs="Arial"/>
                <w:sz w:val="16"/>
                <w:szCs w:val="16"/>
                <w:lang w:eastAsia="es-CO"/>
              </w:rPr>
              <w:t>Cta</w:t>
            </w:r>
            <w:proofErr w:type="spellEnd"/>
            <w:r w:rsidRPr="00853EB6">
              <w:rPr>
                <w:rFonts w:ascii="Arial" w:eastAsia="Times New Roman" w:hAnsi="Arial" w:cs="Arial"/>
                <w:sz w:val="16"/>
                <w:szCs w:val="16"/>
                <w:lang w:eastAsia="es-CO"/>
              </w:rPr>
              <w:t xml:space="preserve"> 1637 PPYE no explotados $202.213.234,73 de Santander y $2.776.326.000 de Magdalena M. de equipo de </w:t>
            </w:r>
            <w:proofErr w:type="spellStart"/>
            <w:r w:rsidRPr="00853EB6">
              <w:rPr>
                <w:rFonts w:ascii="Arial" w:eastAsia="Times New Roman" w:hAnsi="Arial" w:cs="Arial"/>
                <w:sz w:val="16"/>
                <w:szCs w:val="16"/>
                <w:lang w:eastAsia="es-CO"/>
              </w:rPr>
              <w:t>transp</w:t>
            </w:r>
            <w:proofErr w:type="spellEnd"/>
            <w:r w:rsidRPr="00853EB6">
              <w:rPr>
                <w:rFonts w:ascii="Arial" w:eastAsia="Times New Roman" w:hAnsi="Arial" w:cs="Arial"/>
                <w:sz w:val="16"/>
                <w:szCs w:val="16"/>
                <w:lang w:eastAsia="es-CO"/>
              </w:rPr>
              <w:t xml:space="preserve">. en “Estado Bueno”, y no corresponden a menor cuantía, ni se encuentran en servicio </w:t>
            </w:r>
            <w:proofErr w:type="spellStart"/>
            <w:r w:rsidRPr="00853EB6">
              <w:rPr>
                <w:rFonts w:ascii="Arial" w:eastAsia="Times New Roman" w:hAnsi="Arial" w:cs="Arial"/>
                <w:sz w:val="16"/>
                <w:szCs w:val="16"/>
                <w:lang w:eastAsia="es-CO"/>
              </w:rPr>
              <w:t>sn</w:t>
            </w:r>
            <w:proofErr w:type="spellEnd"/>
            <w:r w:rsidRPr="00853EB6">
              <w:rPr>
                <w:rFonts w:ascii="Arial" w:eastAsia="Times New Roman" w:hAnsi="Arial" w:cs="Arial"/>
                <w:sz w:val="16"/>
                <w:szCs w:val="16"/>
                <w:lang w:eastAsia="es-CO"/>
              </w:rPr>
              <w:t xml:space="preserve"> SIAF, conforme a su condición deben ser registrados en dicha cuenta contable.</w:t>
            </w:r>
          </w:p>
        </w:tc>
        <w:tc>
          <w:tcPr>
            <w:tcW w:w="1412" w:type="dxa"/>
            <w:shd w:val="clear" w:color="000000" w:fill="FFFFFF"/>
            <w:hideMark/>
          </w:tcPr>
          <w:p w14:paraId="5DE7EF2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Deficiencias de control interno contable, así como a debilidades en el registro de las operaciones.</w:t>
            </w:r>
          </w:p>
        </w:tc>
        <w:tc>
          <w:tcPr>
            <w:tcW w:w="1635" w:type="dxa"/>
            <w:shd w:val="clear" w:color="000000" w:fill="FFFFFF"/>
            <w:hideMark/>
          </w:tcPr>
          <w:p w14:paraId="05C4BF59" w14:textId="08D7486D"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Presentar reporte con los elementos no explotados y los elementos inservibles registrados en SIAF y Cruce con </w:t>
            </w:r>
            <w:r w:rsidR="00E50A1F" w:rsidRPr="00853EB6">
              <w:rPr>
                <w:rFonts w:ascii="Arial" w:eastAsia="Times New Roman" w:hAnsi="Arial" w:cs="Arial"/>
                <w:sz w:val="16"/>
                <w:szCs w:val="16"/>
                <w:lang w:eastAsia="es-CO"/>
              </w:rPr>
              <w:t>el saldo</w:t>
            </w:r>
            <w:r w:rsidRPr="00853EB6">
              <w:rPr>
                <w:rFonts w:ascii="Arial" w:eastAsia="Times New Roman" w:hAnsi="Arial" w:cs="Arial"/>
                <w:sz w:val="16"/>
                <w:szCs w:val="16"/>
                <w:lang w:eastAsia="es-CO"/>
              </w:rPr>
              <w:t xml:space="preserve"> contable de la cuenta 1637</w:t>
            </w:r>
          </w:p>
        </w:tc>
        <w:tc>
          <w:tcPr>
            <w:tcW w:w="1910" w:type="dxa"/>
            <w:shd w:val="clear" w:color="000000" w:fill="FFFFFF"/>
            <w:hideMark/>
          </w:tcPr>
          <w:p w14:paraId="1D4B522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Reporte SIIF y SIAF</w:t>
            </w:r>
          </w:p>
        </w:tc>
        <w:tc>
          <w:tcPr>
            <w:tcW w:w="1403" w:type="dxa"/>
            <w:shd w:val="clear" w:color="000000" w:fill="FFFFFF"/>
            <w:hideMark/>
          </w:tcPr>
          <w:p w14:paraId="6D9B74B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Reporte</w:t>
            </w:r>
          </w:p>
        </w:tc>
        <w:tc>
          <w:tcPr>
            <w:tcW w:w="692" w:type="dxa"/>
            <w:shd w:val="clear" w:color="000000" w:fill="FFFFFF"/>
            <w:hideMark/>
          </w:tcPr>
          <w:p w14:paraId="7FDA56F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7646451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00D6B3E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30-sep-22</w:t>
            </w:r>
          </w:p>
        </w:tc>
        <w:tc>
          <w:tcPr>
            <w:tcW w:w="879" w:type="dxa"/>
            <w:shd w:val="clear" w:color="000000" w:fill="FFFFFF"/>
            <w:hideMark/>
          </w:tcPr>
          <w:p w14:paraId="53917AE5"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0F24926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717C5E6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 31-12-22 se evidenció: Reporte comprobante contable 42247 del 25-03-2022 reclasificación de cuentas comparativo Bienes, Almacén y Contabilidad cuenta 1637 de enero 2022. Informe a 31-12-2022.</w:t>
            </w:r>
          </w:p>
        </w:tc>
      </w:tr>
      <w:tr w:rsidR="00853EB6" w:rsidRPr="00853EB6" w14:paraId="126D64AA" w14:textId="77777777" w:rsidTr="00853EB6">
        <w:trPr>
          <w:trHeight w:val="2550"/>
        </w:trPr>
        <w:tc>
          <w:tcPr>
            <w:tcW w:w="2684" w:type="dxa"/>
            <w:shd w:val="clear" w:color="000000" w:fill="FFFFFF"/>
            <w:vAlign w:val="center"/>
            <w:hideMark/>
          </w:tcPr>
          <w:p w14:paraId="3AF664BA"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br/>
              <w:t xml:space="preserve">H. 20 Bienes no explotados. A 31-12-2021 no se registró en la </w:t>
            </w:r>
            <w:proofErr w:type="spellStart"/>
            <w:r w:rsidRPr="00853EB6">
              <w:rPr>
                <w:rFonts w:ascii="Arial" w:eastAsia="Times New Roman" w:hAnsi="Arial" w:cs="Arial"/>
                <w:sz w:val="16"/>
                <w:szCs w:val="16"/>
                <w:lang w:eastAsia="es-CO"/>
              </w:rPr>
              <w:t>Cta</w:t>
            </w:r>
            <w:proofErr w:type="spellEnd"/>
            <w:r w:rsidRPr="00853EB6">
              <w:rPr>
                <w:rFonts w:ascii="Arial" w:eastAsia="Times New Roman" w:hAnsi="Arial" w:cs="Arial"/>
                <w:sz w:val="16"/>
                <w:szCs w:val="16"/>
                <w:lang w:eastAsia="es-CO"/>
              </w:rPr>
              <w:t xml:space="preserve"> 1637 PPYE no explotados $202.213.234,73 de Santander y $2.776.326.000 de Magdalena M. de equipo de </w:t>
            </w:r>
            <w:proofErr w:type="spellStart"/>
            <w:r w:rsidRPr="00853EB6">
              <w:rPr>
                <w:rFonts w:ascii="Arial" w:eastAsia="Times New Roman" w:hAnsi="Arial" w:cs="Arial"/>
                <w:sz w:val="16"/>
                <w:szCs w:val="16"/>
                <w:lang w:eastAsia="es-CO"/>
              </w:rPr>
              <w:t>transp</w:t>
            </w:r>
            <w:proofErr w:type="spellEnd"/>
            <w:r w:rsidRPr="00853EB6">
              <w:rPr>
                <w:rFonts w:ascii="Arial" w:eastAsia="Times New Roman" w:hAnsi="Arial" w:cs="Arial"/>
                <w:sz w:val="16"/>
                <w:szCs w:val="16"/>
                <w:lang w:eastAsia="es-CO"/>
              </w:rPr>
              <w:t xml:space="preserve">. en “Estado Bueno”, y no corresponden a menor cuantía, ni se encuentran en servicio </w:t>
            </w:r>
            <w:proofErr w:type="spellStart"/>
            <w:r w:rsidRPr="00853EB6">
              <w:rPr>
                <w:rFonts w:ascii="Arial" w:eastAsia="Times New Roman" w:hAnsi="Arial" w:cs="Arial"/>
                <w:sz w:val="16"/>
                <w:szCs w:val="16"/>
                <w:lang w:eastAsia="es-CO"/>
              </w:rPr>
              <w:t>sn</w:t>
            </w:r>
            <w:proofErr w:type="spellEnd"/>
            <w:r w:rsidRPr="00853EB6">
              <w:rPr>
                <w:rFonts w:ascii="Arial" w:eastAsia="Times New Roman" w:hAnsi="Arial" w:cs="Arial"/>
                <w:sz w:val="16"/>
                <w:szCs w:val="16"/>
                <w:lang w:eastAsia="es-CO"/>
              </w:rPr>
              <w:t xml:space="preserve"> SIAF, conforme a su condición deben ser registrados en dicha cuenta contable.</w:t>
            </w:r>
          </w:p>
        </w:tc>
        <w:tc>
          <w:tcPr>
            <w:tcW w:w="1412" w:type="dxa"/>
            <w:shd w:val="clear" w:color="000000" w:fill="FFFFFF"/>
            <w:hideMark/>
          </w:tcPr>
          <w:p w14:paraId="19831548"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Deficiencias de control interno contable, así como a debilidades en el registro de las operaciones.</w:t>
            </w:r>
          </w:p>
        </w:tc>
        <w:tc>
          <w:tcPr>
            <w:tcW w:w="1635" w:type="dxa"/>
            <w:shd w:val="clear" w:color="000000" w:fill="FFFFFF"/>
            <w:hideMark/>
          </w:tcPr>
          <w:p w14:paraId="67D907D5" w14:textId="7EE89906"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Presentar reporte con los elementos no explotados y los elementos inservibles registrados en SIAF y Cruce con </w:t>
            </w:r>
            <w:r w:rsidR="00E50A1F" w:rsidRPr="00853EB6">
              <w:rPr>
                <w:rFonts w:ascii="Arial" w:eastAsia="Times New Roman" w:hAnsi="Arial" w:cs="Arial"/>
                <w:sz w:val="16"/>
                <w:szCs w:val="16"/>
                <w:lang w:eastAsia="es-CO"/>
              </w:rPr>
              <w:t>el saldo</w:t>
            </w:r>
            <w:r w:rsidRPr="00853EB6">
              <w:rPr>
                <w:rFonts w:ascii="Arial" w:eastAsia="Times New Roman" w:hAnsi="Arial" w:cs="Arial"/>
                <w:sz w:val="16"/>
                <w:szCs w:val="16"/>
                <w:lang w:eastAsia="es-CO"/>
              </w:rPr>
              <w:t xml:space="preserve"> contable de la cuenta 1637</w:t>
            </w:r>
          </w:p>
        </w:tc>
        <w:tc>
          <w:tcPr>
            <w:tcW w:w="1910" w:type="dxa"/>
            <w:shd w:val="clear" w:color="000000" w:fill="FFFFFF"/>
            <w:hideMark/>
          </w:tcPr>
          <w:p w14:paraId="204FD62B"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la reclasificación correspondiente</w:t>
            </w:r>
          </w:p>
        </w:tc>
        <w:tc>
          <w:tcPr>
            <w:tcW w:w="1403" w:type="dxa"/>
            <w:shd w:val="clear" w:color="000000" w:fill="FFFFFF"/>
            <w:hideMark/>
          </w:tcPr>
          <w:p w14:paraId="31D7EC64"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resultados de actividad</w:t>
            </w:r>
          </w:p>
        </w:tc>
        <w:tc>
          <w:tcPr>
            <w:tcW w:w="692" w:type="dxa"/>
            <w:shd w:val="clear" w:color="000000" w:fill="FFFFFF"/>
            <w:hideMark/>
          </w:tcPr>
          <w:p w14:paraId="439477B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w:t>
            </w:r>
          </w:p>
        </w:tc>
        <w:tc>
          <w:tcPr>
            <w:tcW w:w="941" w:type="dxa"/>
            <w:shd w:val="clear" w:color="000000" w:fill="FFFFFF"/>
            <w:hideMark/>
          </w:tcPr>
          <w:p w14:paraId="31C19AF2"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1-oct-22</w:t>
            </w:r>
          </w:p>
        </w:tc>
        <w:tc>
          <w:tcPr>
            <w:tcW w:w="1047" w:type="dxa"/>
            <w:shd w:val="clear" w:color="000000" w:fill="FFFFFF"/>
            <w:hideMark/>
          </w:tcPr>
          <w:p w14:paraId="6B620C3B"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31-dic-22</w:t>
            </w:r>
          </w:p>
        </w:tc>
        <w:tc>
          <w:tcPr>
            <w:tcW w:w="879" w:type="dxa"/>
            <w:shd w:val="clear" w:color="000000" w:fill="FFFFFF"/>
            <w:hideMark/>
          </w:tcPr>
          <w:p w14:paraId="5285F79F"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1</w:t>
            </w:r>
          </w:p>
        </w:tc>
        <w:tc>
          <w:tcPr>
            <w:tcW w:w="959" w:type="dxa"/>
            <w:shd w:val="clear" w:color="000000" w:fill="FFFFFF"/>
            <w:hideMark/>
          </w:tcPr>
          <w:p w14:paraId="787978B5"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2423F4A7" w14:textId="38B8C8B3"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31-12-22 se evidenció: Informe resultado actividad con corte a 31-12-22, donde informan la </w:t>
            </w:r>
            <w:r w:rsidR="00E50A1F" w:rsidRPr="00853EB6">
              <w:rPr>
                <w:rFonts w:ascii="Arial" w:eastAsia="Times New Roman" w:hAnsi="Arial" w:cs="Arial"/>
                <w:sz w:val="16"/>
                <w:szCs w:val="16"/>
                <w:lang w:eastAsia="es-CO"/>
              </w:rPr>
              <w:t>reclasificación</w:t>
            </w:r>
            <w:r w:rsidRPr="00853EB6">
              <w:rPr>
                <w:rFonts w:ascii="Arial" w:eastAsia="Times New Roman" w:hAnsi="Arial" w:cs="Arial"/>
                <w:sz w:val="16"/>
                <w:szCs w:val="16"/>
                <w:lang w:eastAsia="es-CO"/>
              </w:rPr>
              <w:t xml:space="preserve"> correspondiente, registro contable 42247 de 31-01-2022 y se anexan conciliaciones </w:t>
            </w:r>
            <w:r w:rsidR="00E50A1F" w:rsidRPr="00853EB6">
              <w:rPr>
                <w:rFonts w:ascii="Arial" w:eastAsia="Times New Roman" w:hAnsi="Arial" w:cs="Arial"/>
                <w:sz w:val="16"/>
                <w:szCs w:val="16"/>
                <w:lang w:eastAsia="es-CO"/>
              </w:rPr>
              <w:t>periódicas</w:t>
            </w:r>
            <w:r w:rsidRPr="00853EB6">
              <w:rPr>
                <w:rFonts w:ascii="Arial" w:eastAsia="Times New Roman" w:hAnsi="Arial" w:cs="Arial"/>
                <w:sz w:val="16"/>
                <w:szCs w:val="16"/>
                <w:lang w:eastAsia="es-CO"/>
              </w:rPr>
              <w:t xml:space="preserve"> con Bienes en formato FGN-AP06-F40 de las cuentas 1636 y 1637. A 31-12-2022 se informa que la cuenta está con saldo cero.</w:t>
            </w:r>
          </w:p>
        </w:tc>
      </w:tr>
      <w:tr w:rsidR="00853EB6" w:rsidRPr="00853EB6" w14:paraId="4F3FDD35" w14:textId="77777777" w:rsidTr="00853EB6">
        <w:trPr>
          <w:trHeight w:val="2640"/>
        </w:trPr>
        <w:tc>
          <w:tcPr>
            <w:tcW w:w="2684" w:type="dxa"/>
            <w:shd w:val="clear" w:color="000000" w:fill="FFFFFF"/>
            <w:vAlign w:val="center"/>
            <w:hideMark/>
          </w:tcPr>
          <w:p w14:paraId="174B3BF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lastRenderedPageBreak/>
              <w:t>Nro. 68 Estudios y Documentos previos - Contrato CN245 de 2018.</w:t>
            </w:r>
            <w:r w:rsidRPr="00853EB6">
              <w:rPr>
                <w:rFonts w:ascii="Arial" w:eastAsia="Times New Roman" w:hAnsi="Arial" w:cs="Arial"/>
                <w:sz w:val="16"/>
                <w:szCs w:val="16"/>
                <w:lang w:eastAsia="es-CO"/>
              </w:rPr>
              <w:t xml:space="preserve"> La modalidad de contratación fue la directa, se evidenció que varios de los componentes de hardware del sistema son de características técnicas uniformes, y de las cuales el contratista no ostenta exclusividad en el servicio de mantenimiento preventivo y/o correctivo, por lo que existe pluralidad de oferentes</w:t>
            </w:r>
          </w:p>
        </w:tc>
        <w:tc>
          <w:tcPr>
            <w:tcW w:w="1412" w:type="dxa"/>
            <w:shd w:val="clear" w:color="000000" w:fill="FFFFFF"/>
            <w:hideMark/>
          </w:tcPr>
          <w:p w14:paraId="3C483F1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Debilidades en la identificación de la necesidad </w:t>
            </w:r>
          </w:p>
        </w:tc>
        <w:tc>
          <w:tcPr>
            <w:tcW w:w="1635" w:type="dxa"/>
            <w:shd w:val="clear" w:color="000000" w:fill="FFFFFF"/>
            <w:hideMark/>
          </w:tcPr>
          <w:p w14:paraId="7C8C012F" w14:textId="5C81F48B"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Realizar seguimiento por parte de las Direcciones y/o </w:t>
            </w:r>
            <w:r w:rsidR="00E50A1F" w:rsidRPr="00853EB6">
              <w:rPr>
                <w:rFonts w:ascii="Arial" w:eastAsia="Times New Roman" w:hAnsi="Arial" w:cs="Arial"/>
                <w:sz w:val="16"/>
                <w:szCs w:val="16"/>
                <w:lang w:eastAsia="es-CO"/>
              </w:rPr>
              <w:t>Subdirecciones</w:t>
            </w:r>
            <w:r w:rsidRPr="00853EB6">
              <w:rPr>
                <w:rFonts w:ascii="Arial" w:eastAsia="Times New Roman" w:hAnsi="Arial" w:cs="Arial"/>
                <w:sz w:val="16"/>
                <w:szCs w:val="16"/>
                <w:lang w:eastAsia="es-CO"/>
              </w:rPr>
              <w:t xml:space="preserve"> que tienen a cargo </w:t>
            </w:r>
            <w:r w:rsidR="00BC4504" w:rsidRPr="00853EB6">
              <w:rPr>
                <w:rFonts w:ascii="Arial" w:eastAsia="Times New Roman" w:hAnsi="Arial" w:cs="Arial"/>
                <w:sz w:val="16"/>
                <w:szCs w:val="16"/>
                <w:lang w:eastAsia="es-CO"/>
              </w:rPr>
              <w:t>más</w:t>
            </w:r>
            <w:r w:rsidRPr="00853EB6">
              <w:rPr>
                <w:rFonts w:ascii="Arial" w:eastAsia="Times New Roman" w:hAnsi="Arial" w:cs="Arial"/>
                <w:sz w:val="16"/>
                <w:szCs w:val="16"/>
                <w:lang w:eastAsia="es-CO"/>
              </w:rPr>
              <w:t xml:space="preserve"> de 5 contratos en ejecución de mayor impacto para la entidad (Dirección de CTI</w:t>
            </w:r>
            <w:r w:rsidRPr="00853EB6">
              <w:rPr>
                <w:rFonts w:ascii="Arial" w:eastAsia="Times New Roman" w:hAnsi="Arial" w:cs="Arial"/>
                <w:sz w:val="16"/>
                <w:szCs w:val="16"/>
                <w:lang w:eastAsia="es-CO"/>
              </w:rPr>
              <w:br/>
              <w:t>Subdirección de Bienes</w:t>
            </w:r>
            <w:r w:rsidRPr="00853EB6">
              <w:rPr>
                <w:rFonts w:ascii="Arial" w:eastAsia="Times New Roman" w:hAnsi="Arial" w:cs="Arial"/>
                <w:sz w:val="16"/>
                <w:szCs w:val="16"/>
                <w:lang w:eastAsia="es-CO"/>
              </w:rPr>
              <w:br/>
              <w:t>Subdirección de Gestión Documental</w:t>
            </w:r>
            <w:r w:rsidRPr="00853EB6">
              <w:rPr>
                <w:rFonts w:ascii="Arial" w:eastAsia="Times New Roman" w:hAnsi="Arial" w:cs="Arial"/>
                <w:sz w:val="16"/>
                <w:szCs w:val="16"/>
                <w:lang w:eastAsia="es-CO"/>
              </w:rPr>
              <w:br/>
              <w:t>Dirección Protección y Asistencia</w:t>
            </w:r>
            <w:r w:rsidRPr="00853EB6">
              <w:rPr>
                <w:rFonts w:ascii="Arial" w:eastAsia="Times New Roman" w:hAnsi="Arial" w:cs="Arial"/>
                <w:sz w:val="16"/>
                <w:szCs w:val="16"/>
                <w:lang w:eastAsia="es-CO"/>
              </w:rPr>
              <w:br/>
              <w:t xml:space="preserve">Subdirección de </w:t>
            </w:r>
            <w:proofErr w:type="spellStart"/>
            <w:r w:rsidRPr="00853EB6">
              <w:rPr>
                <w:rFonts w:ascii="Arial" w:eastAsia="Times New Roman" w:hAnsi="Arial" w:cs="Arial"/>
                <w:sz w:val="16"/>
                <w:szCs w:val="16"/>
                <w:lang w:eastAsia="es-CO"/>
              </w:rPr>
              <w:t>Tic´s</w:t>
            </w:r>
            <w:proofErr w:type="spellEnd"/>
            <w:r w:rsidRPr="00853EB6">
              <w:rPr>
                <w:rFonts w:ascii="Arial" w:eastAsia="Times New Roman" w:hAnsi="Arial" w:cs="Arial"/>
                <w:sz w:val="16"/>
                <w:szCs w:val="16"/>
                <w:lang w:eastAsia="es-CO"/>
              </w:rPr>
              <w:t>)</w:t>
            </w:r>
          </w:p>
        </w:tc>
        <w:tc>
          <w:tcPr>
            <w:tcW w:w="1910" w:type="dxa"/>
            <w:shd w:val="clear" w:color="000000" w:fill="FFFFFF"/>
            <w:hideMark/>
          </w:tcPr>
          <w:p w14:paraId="50522179" w14:textId="53D2EF0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Realizar seguimientos </w:t>
            </w:r>
            <w:r w:rsidR="00BC4504" w:rsidRPr="00853EB6">
              <w:rPr>
                <w:rFonts w:ascii="Arial" w:eastAsia="Times New Roman" w:hAnsi="Arial" w:cs="Arial"/>
                <w:sz w:val="16"/>
                <w:szCs w:val="16"/>
                <w:lang w:eastAsia="es-CO"/>
              </w:rPr>
              <w:t>trimestrales por</w:t>
            </w:r>
            <w:r w:rsidRPr="00853EB6">
              <w:rPr>
                <w:rFonts w:ascii="Arial" w:eastAsia="Times New Roman" w:hAnsi="Arial" w:cs="Arial"/>
                <w:sz w:val="16"/>
                <w:szCs w:val="16"/>
                <w:lang w:eastAsia="es-CO"/>
              </w:rPr>
              <w:t xml:space="preserve"> parte de las Direcciones y/o </w:t>
            </w:r>
            <w:r w:rsidR="00E50A1F" w:rsidRPr="00853EB6">
              <w:rPr>
                <w:rFonts w:ascii="Arial" w:eastAsia="Times New Roman" w:hAnsi="Arial" w:cs="Arial"/>
                <w:sz w:val="16"/>
                <w:szCs w:val="16"/>
                <w:lang w:eastAsia="es-CO"/>
              </w:rPr>
              <w:t>Subdirecciones</w:t>
            </w:r>
            <w:r w:rsidRPr="00853EB6">
              <w:rPr>
                <w:rFonts w:ascii="Arial" w:eastAsia="Times New Roman" w:hAnsi="Arial" w:cs="Arial"/>
                <w:sz w:val="16"/>
                <w:szCs w:val="16"/>
                <w:lang w:eastAsia="es-CO"/>
              </w:rPr>
              <w:t xml:space="preserve"> que tienen a cargo </w:t>
            </w:r>
            <w:r w:rsidR="00BC4504" w:rsidRPr="00853EB6">
              <w:rPr>
                <w:rFonts w:ascii="Arial" w:eastAsia="Times New Roman" w:hAnsi="Arial" w:cs="Arial"/>
                <w:sz w:val="16"/>
                <w:szCs w:val="16"/>
                <w:lang w:eastAsia="es-CO"/>
              </w:rPr>
              <w:t>más</w:t>
            </w:r>
            <w:r w:rsidRPr="00853EB6">
              <w:rPr>
                <w:rFonts w:ascii="Arial" w:eastAsia="Times New Roman" w:hAnsi="Arial" w:cs="Arial"/>
                <w:sz w:val="16"/>
                <w:szCs w:val="16"/>
                <w:lang w:eastAsia="es-CO"/>
              </w:rPr>
              <w:t xml:space="preserve"> de 5 contratos en ejecución de mayor impacto para la entidad.</w:t>
            </w:r>
          </w:p>
        </w:tc>
        <w:tc>
          <w:tcPr>
            <w:tcW w:w="1403" w:type="dxa"/>
            <w:shd w:val="clear" w:color="000000" w:fill="FFFFFF"/>
            <w:hideMark/>
          </w:tcPr>
          <w:p w14:paraId="79DB050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 de seguimiento trimestral</w:t>
            </w:r>
          </w:p>
        </w:tc>
        <w:tc>
          <w:tcPr>
            <w:tcW w:w="692" w:type="dxa"/>
            <w:shd w:val="clear" w:color="000000" w:fill="FFFFFF"/>
            <w:hideMark/>
          </w:tcPr>
          <w:p w14:paraId="625C06B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w:t>
            </w:r>
          </w:p>
        </w:tc>
        <w:tc>
          <w:tcPr>
            <w:tcW w:w="941" w:type="dxa"/>
            <w:shd w:val="clear" w:color="000000" w:fill="FFFFFF"/>
            <w:hideMark/>
          </w:tcPr>
          <w:p w14:paraId="7F79ED4C"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0391688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31-dic-22</w:t>
            </w:r>
          </w:p>
        </w:tc>
        <w:tc>
          <w:tcPr>
            <w:tcW w:w="879" w:type="dxa"/>
            <w:shd w:val="clear" w:color="000000" w:fill="FFFFFF"/>
            <w:hideMark/>
          </w:tcPr>
          <w:p w14:paraId="7EDB03D0"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2</w:t>
            </w:r>
          </w:p>
        </w:tc>
        <w:tc>
          <w:tcPr>
            <w:tcW w:w="959" w:type="dxa"/>
            <w:shd w:val="clear" w:color="000000" w:fill="FFFFFF"/>
            <w:hideMark/>
          </w:tcPr>
          <w:p w14:paraId="332E44DD"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5D598B3F"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31-12-22 se evidenció: Rad 20221200003941 TICS de 29-9-22 </w:t>
            </w:r>
            <w:proofErr w:type="spellStart"/>
            <w:r w:rsidRPr="00853EB6">
              <w:rPr>
                <w:rFonts w:ascii="Arial" w:eastAsia="Times New Roman" w:hAnsi="Arial" w:cs="Arial"/>
                <w:sz w:val="16"/>
                <w:szCs w:val="16"/>
                <w:lang w:eastAsia="es-CO"/>
              </w:rPr>
              <w:t>inf</w:t>
            </w:r>
            <w:proofErr w:type="spellEnd"/>
            <w:r w:rsidRPr="00853EB6">
              <w:rPr>
                <w:rFonts w:ascii="Arial" w:eastAsia="Times New Roman" w:hAnsi="Arial" w:cs="Arial"/>
                <w:sz w:val="16"/>
                <w:szCs w:val="16"/>
                <w:lang w:eastAsia="es-CO"/>
              </w:rPr>
              <w:t xml:space="preserve">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066-2020, Rad 20227750008821 Bienes de 30-9-22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FGN-NC0071-2021 Seguros, Rad 20226150002873 </w:t>
            </w:r>
            <w:proofErr w:type="spellStart"/>
            <w:r w:rsidRPr="00853EB6">
              <w:rPr>
                <w:rFonts w:ascii="Arial" w:eastAsia="Times New Roman" w:hAnsi="Arial" w:cs="Arial"/>
                <w:sz w:val="16"/>
                <w:szCs w:val="16"/>
                <w:lang w:eastAsia="es-CO"/>
              </w:rPr>
              <w:t>Transp</w:t>
            </w:r>
            <w:proofErr w:type="spellEnd"/>
            <w:r w:rsidRPr="00853EB6">
              <w:rPr>
                <w:rFonts w:ascii="Arial" w:eastAsia="Times New Roman" w:hAnsi="Arial" w:cs="Arial"/>
                <w:sz w:val="16"/>
                <w:szCs w:val="16"/>
                <w:lang w:eastAsia="es-CO"/>
              </w:rPr>
              <w:t xml:space="preserve"> </w:t>
            </w:r>
            <w:proofErr w:type="spellStart"/>
            <w:r w:rsidRPr="00853EB6">
              <w:rPr>
                <w:rFonts w:ascii="Arial" w:eastAsia="Times New Roman" w:hAnsi="Arial" w:cs="Arial"/>
                <w:sz w:val="16"/>
                <w:szCs w:val="16"/>
                <w:lang w:eastAsia="es-CO"/>
              </w:rPr>
              <w:t>inf</w:t>
            </w:r>
            <w:proofErr w:type="spellEnd"/>
            <w:r w:rsidRPr="00853EB6">
              <w:rPr>
                <w:rFonts w:ascii="Arial" w:eastAsia="Times New Roman" w:hAnsi="Arial" w:cs="Arial"/>
                <w:sz w:val="16"/>
                <w:szCs w:val="16"/>
                <w:lang w:eastAsia="es-CO"/>
              </w:rPr>
              <w:t xml:space="preserve">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0127-2020 de 30-9-22 OC 54974 </w:t>
            </w:r>
            <w:proofErr w:type="spellStart"/>
            <w:r w:rsidRPr="00853EB6">
              <w:rPr>
                <w:rFonts w:ascii="Arial" w:eastAsia="Times New Roman" w:hAnsi="Arial" w:cs="Arial"/>
                <w:sz w:val="16"/>
                <w:szCs w:val="16"/>
                <w:lang w:eastAsia="es-CO"/>
              </w:rPr>
              <w:t>combust</w:t>
            </w:r>
            <w:proofErr w:type="spellEnd"/>
            <w:r w:rsidRPr="00853EB6">
              <w:rPr>
                <w:rFonts w:ascii="Arial" w:eastAsia="Times New Roman" w:hAnsi="Arial" w:cs="Arial"/>
                <w:sz w:val="16"/>
                <w:szCs w:val="16"/>
                <w:lang w:eastAsia="es-CO"/>
              </w:rPr>
              <w:t xml:space="preserve">, Rad 2023615000211 </w:t>
            </w:r>
            <w:proofErr w:type="spellStart"/>
            <w:r w:rsidRPr="00853EB6">
              <w:rPr>
                <w:rFonts w:ascii="Arial" w:eastAsia="Times New Roman" w:hAnsi="Arial" w:cs="Arial"/>
                <w:sz w:val="16"/>
                <w:szCs w:val="16"/>
                <w:lang w:eastAsia="es-CO"/>
              </w:rPr>
              <w:t>Transp</w:t>
            </w:r>
            <w:proofErr w:type="spellEnd"/>
            <w:r w:rsidRPr="00853EB6">
              <w:rPr>
                <w:rFonts w:ascii="Arial" w:eastAsia="Times New Roman" w:hAnsi="Arial" w:cs="Arial"/>
                <w:sz w:val="16"/>
                <w:szCs w:val="16"/>
                <w:lang w:eastAsia="es-CO"/>
              </w:rPr>
              <w:t xml:space="preserve"> de 11-1-23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0173-2022, Rad 20231200000041 TICS 11-1-23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FGN-0015-2022 OC84217 ORACOL, Rad 20236120000513 DCAS de 16-1-23 </w:t>
            </w:r>
            <w:proofErr w:type="spellStart"/>
            <w:r w:rsidRPr="00853EB6">
              <w:rPr>
                <w:rFonts w:ascii="Arial" w:eastAsia="Times New Roman" w:hAnsi="Arial" w:cs="Arial"/>
                <w:sz w:val="16"/>
                <w:szCs w:val="16"/>
                <w:lang w:eastAsia="es-CO"/>
              </w:rPr>
              <w:t>inf</w:t>
            </w:r>
            <w:proofErr w:type="spellEnd"/>
            <w:r w:rsidRPr="00853EB6">
              <w:rPr>
                <w:rFonts w:ascii="Arial" w:eastAsia="Times New Roman" w:hAnsi="Arial" w:cs="Arial"/>
                <w:sz w:val="16"/>
                <w:szCs w:val="16"/>
                <w:lang w:eastAsia="es-CO"/>
              </w:rPr>
              <w:t xml:space="preserve">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207-2022.</w:t>
            </w:r>
          </w:p>
        </w:tc>
      </w:tr>
      <w:tr w:rsidR="00853EB6" w:rsidRPr="00853EB6" w14:paraId="441BF07B" w14:textId="77777777" w:rsidTr="00853EB6">
        <w:trPr>
          <w:trHeight w:val="2550"/>
        </w:trPr>
        <w:tc>
          <w:tcPr>
            <w:tcW w:w="2684" w:type="dxa"/>
            <w:shd w:val="clear" w:color="000000" w:fill="FFFFFF"/>
            <w:vAlign w:val="center"/>
            <w:hideMark/>
          </w:tcPr>
          <w:p w14:paraId="0DD4F0F5" w14:textId="5AD3268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 xml:space="preserve">Nro. </w:t>
            </w:r>
            <w:r w:rsidR="00E50A1F" w:rsidRPr="00853EB6">
              <w:rPr>
                <w:rFonts w:ascii="Arial" w:eastAsia="Times New Roman" w:hAnsi="Arial" w:cs="Arial"/>
                <w:b/>
                <w:bCs/>
                <w:sz w:val="16"/>
                <w:szCs w:val="16"/>
                <w:lang w:eastAsia="es-CO"/>
              </w:rPr>
              <w:t>70 Liquidación</w:t>
            </w:r>
            <w:r w:rsidRPr="00853EB6">
              <w:rPr>
                <w:rFonts w:ascii="Arial" w:eastAsia="Times New Roman" w:hAnsi="Arial" w:cs="Arial"/>
                <w:b/>
                <w:bCs/>
                <w:sz w:val="16"/>
                <w:szCs w:val="16"/>
                <w:lang w:eastAsia="es-CO"/>
              </w:rPr>
              <w:t xml:space="preserve"> Acuerdo Específico 241</w:t>
            </w:r>
            <w:r w:rsidRPr="00853EB6">
              <w:rPr>
                <w:rFonts w:ascii="Arial" w:eastAsia="Times New Roman" w:hAnsi="Arial" w:cs="Arial"/>
                <w:sz w:val="16"/>
                <w:szCs w:val="16"/>
                <w:lang w:eastAsia="es-CO"/>
              </w:rPr>
              <w:t xml:space="preserve"> </w:t>
            </w:r>
            <w:r w:rsidRPr="00853EB6">
              <w:rPr>
                <w:rFonts w:ascii="Arial" w:eastAsia="Times New Roman" w:hAnsi="Arial" w:cs="Arial"/>
                <w:b/>
                <w:bCs/>
                <w:sz w:val="16"/>
                <w:szCs w:val="16"/>
                <w:lang w:eastAsia="es-CO"/>
              </w:rPr>
              <w:t>del 27/09/2017</w:t>
            </w:r>
            <w:r w:rsidRPr="00853EB6">
              <w:rPr>
                <w:rFonts w:ascii="Arial" w:eastAsia="Times New Roman" w:hAnsi="Arial" w:cs="Arial"/>
                <w:sz w:val="16"/>
                <w:szCs w:val="16"/>
                <w:lang w:eastAsia="es-CO"/>
              </w:rPr>
              <w:t xml:space="preserve"> se firmó acta de liquidación el 23/05/2018, a pesar de haber obligaciones pendientes de las partes a la firma del Acta de liquidación. A 31/12/2019, no se evidenció soporte de devolución del saldo de los recursos que quedaron en poder de la ANIVBV; </w:t>
            </w:r>
            <w:r w:rsidR="00E50A1F" w:rsidRPr="00853EB6">
              <w:rPr>
                <w:rFonts w:ascii="Arial" w:eastAsia="Times New Roman" w:hAnsi="Arial" w:cs="Arial"/>
                <w:sz w:val="16"/>
                <w:szCs w:val="16"/>
                <w:lang w:eastAsia="es-CO"/>
              </w:rPr>
              <w:t>a pesar de que</w:t>
            </w:r>
            <w:r w:rsidRPr="00853EB6">
              <w:rPr>
                <w:rFonts w:ascii="Arial" w:eastAsia="Times New Roman" w:hAnsi="Arial" w:cs="Arial"/>
                <w:sz w:val="16"/>
                <w:szCs w:val="16"/>
                <w:lang w:eastAsia="es-CO"/>
              </w:rPr>
              <w:t xml:space="preserve"> dichos recursos ya se habían transferido a la DTN, la ANIVBV.</w:t>
            </w:r>
          </w:p>
        </w:tc>
        <w:tc>
          <w:tcPr>
            <w:tcW w:w="1412" w:type="dxa"/>
            <w:shd w:val="clear" w:color="000000" w:fill="FFFFFF"/>
            <w:hideMark/>
          </w:tcPr>
          <w:p w14:paraId="3D2C917D"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Debilidades en el ejercicio de la supervisión contractual</w:t>
            </w:r>
          </w:p>
        </w:tc>
        <w:tc>
          <w:tcPr>
            <w:tcW w:w="1635" w:type="dxa"/>
            <w:shd w:val="clear" w:color="000000" w:fill="FFFFFF"/>
            <w:hideMark/>
          </w:tcPr>
          <w:p w14:paraId="43AA0392"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seguimiento nacional a liquidación de contratos</w:t>
            </w:r>
          </w:p>
        </w:tc>
        <w:tc>
          <w:tcPr>
            <w:tcW w:w="1910" w:type="dxa"/>
            <w:shd w:val="clear" w:color="000000" w:fill="FFFFFF"/>
            <w:hideMark/>
          </w:tcPr>
          <w:p w14:paraId="7D63D5B4" w14:textId="5F34DD34"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Diligenciamiento de formato </w:t>
            </w:r>
            <w:proofErr w:type="spellStart"/>
            <w:r w:rsidR="00E50A1F" w:rsidRPr="00853EB6">
              <w:rPr>
                <w:rFonts w:ascii="Arial" w:eastAsia="Times New Roman" w:hAnsi="Arial" w:cs="Arial"/>
                <w:sz w:val="16"/>
                <w:szCs w:val="16"/>
                <w:lang w:eastAsia="es-CO"/>
              </w:rPr>
              <w:t>facilitativos</w:t>
            </w:r>
            <w:proofErr w:type="spellEnd"/>
            <w:r w:rsidRPr="00853EB6">
              <w:rPr>
                <w:rFonts w:ascii="Arial" w:eastAsia="Times New Roman" w:hAnsi="Arial" w:cs="Arial"/>
                <w:sz w:val="16"/>
                <w:szCs w:val="16"/>
                <w:lang w:eastAsia="es-CO"/>
              </w:rPr>
              <w:t xml:space="preserve"> en Excel, creado para reportar el avance y </w:t>
            </w:r>
            <w:r w:rsidR="00E50A1F" w:rsidRPr="00853EB6">
              <w:rPr>
                <w:rFonts w:ascii="Arial" w:eastAsia="Times New Roman" w:hAnsi="Arial" w:cs="Arial"/>
                <w:sz w:val="16"/>
                <w:szCs w:val="16"/>
                <w:lang w:eastAsia="es-CO"/>
              </w:rPr>
              <w:t>situación</w:t>
            </w:r>
            <w:r w:rsidRPr="00853EB6">
              <w:rPr>
                <w:rFonts w:ascii="Arial" w:eastAsia="Times New Roman" w:hAnsi="Arial" w:cs="Arial"/>
                <w:sz w:val="16"/>
                <w:szCs w:val="16"/>
                <w:lang w:eastAsia="es-CO"/>
              </w:rPr>
              <w:t xml:space="preserve"> de las liquidaciones de los contratos y remitido a la Subdirección de Gestión Contractual Nivel </w:t>
            </w:r>
            <w:r w:rsidR="00E50A1F" w:rsidRPr="00853EB6">
              <w:rPr>
                <w:rFonts w:ascii="Arial" w:eastAsia="Times New Roman" w:hAnsi="Arial" w:cs="Arial"/>
                <w:sz w:val="16"/>
                <w:szCs w:val="16"/>
                <w:lang w:eastAsia="es-CO"/>
              </w:rPr>
              <w:t>Central mensual</w:t>
            </w:r>
          </w:p>
        </w:tc>
        <w:tc>
          <w:tcPr>
            <w:tcW w:w="1403" w:type="dxa"/>
            <w:shd w:val="clear" w:color="000000" w:fill="FFFFFF"/>
            <w:hideMark/>
          </w:tcPr>
          <w:p w14:paraId="7A0A59FE" w14:textId="0C1BD45F"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Correos electrónicos y </w:t>
            </w:r>
            <w:r w:rsidR="00BC4504" w:rsidRPr="00853EB6">
              <w:rPr>
                <w:rFonts w:ascii="Arial" w:eastAsia="Times New Roman" w:hAnsi="Arial" w:cs="Arial"/>
                <w:sz w:val="16"/>
                <w:szCs w:val="16"/>
                <w:lang w:eastAsia="es-CO"/>
              </w:rPr>
              <w:t xml:space="preserve">formato </w:t>
            </w:r>
            <w:proofErr w:type="spellStart"/>
            <w:r w:rsidR="00BC4504" w:rsidRPr="00853EB6">
              <w:rPr>
                <w:rFonts w:ascii="Arial" w:eastAsia="Times New Roman" w:hAnsi="Arial" w:cs="Arial"/>
                <w:sz w:val="16"/>
                <w:szCs w:val="16"/>
                <w:lang w:eastAsia="es-CO"/>
              </w:rPr>
              <w:t>facilitativos</w:t>
            </w:r>
            <w:proofErr w:type="spellEnd"/>
            <w:r w:rsidRPr="00853EB6">
              <w:rPr>
                <w:rFonts w:ascii="Arial" w:eastAsia="Times New Roman" w:hAnsi="Arial" w:cs="Arial"/>
                <w:sz w:val="16"/>
                <w:szCs w:val="16"/>
                <w:lang w:eastAsia="es-CO"/>
              </w:rPr>
              <w:t xml:space="preserve"> en Excel diligenciado</w:t>
            </w:r>
          </w:p>
        </w:tc>
        <w:tc>
          <w:tcPr>
            <w:tcW w:w="692" w:type="dxa"/>
            <w:shd w:val="clear" w:color="000000" w:fill="FFFFFF"/>
            <w:hideMark/>
          </w:tcPr>
          <w:p w14:paraId="7A2B4BF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6</w:t>
            </w:r>
          </w:p>
        </w:tc>
        <w:tc>
          <w:tcPr>
            <w:tcW w:w="941" w:type="dxa"/>
            <w:shd w:val="clear" w:color="000000" w:fill="FFFFFF"/>
            <w:hideMark/>
          </w:tcPr>
          <w:p w14:paraId="6A0F7709"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6E5688C8"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31-dic-22</w:t>
            </w:r>
          </w:p>
        </w:tc>
        <w:tc>
          <w:tcPr>
            <w:tcW w:w="879" w:type="dxa"/>
            <w:shd w:val="clear" w:color="000000" w:fill="FFFFFF"/>
            <w:hideMark/>
          </w:tcPr>
          <w:p w14:paraId="53CAEE15"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6</w:t>
            </w:r>
          </w:p>
        </w:tc>
        <w:tc>
          <w:tcPr>
            <w:tcW w:w="959" w:type="dxa"/>
            <w:shd w:val="clear" w:color="000000" w:fill="FFFFFF"/>
            <w:hideMark/>
          </w:tcPr>
          <w:p w14:paraId="2B1C8A13"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0F9AE3A5" w14:textId="306BD1BA"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31-12-22 se evidenció: Matriz </w:t>
            </w:r>
            <w:proofErr w:type="spellStart"/>
            <w:r w:rsidR="00E50A1F" w:rsidRPr="00853EB6">
              <w:rPr>
                <w:rFonts w:ascii="Arial" w:eastAsia="Times New Roman" w:hAnsi="Arial" w:cs="Arial"/>
                <w:sz w:val="16"/>
                <w:szCs w:val="16"/>
                <w:lang w:eastAsia="es-CO"/>
              </w:rPr>
              <w:t>fac</w:t>
            </w:r>
            <w:r w:rsidR="00E50A1F">
              <w:rPr>
                <w:rFonts w:ascii="Arial" w:eastAsia="Times New Roman" w:hAnsi="Arial" w:cs="Arial"/>
                <w:sz w:val="16"/>
                <w:szCs w:val="16"/>
                <w:lang w:eastAsia="es-CO"/>
              </w:rPr>
              <w:t>i</w:t>
            </w:r>
            <w:r w:rsidR="00E50A1F" w:rsidRPr="00853EB6">
              <w:rPr>
                <w:rFonts w:ascii="Arial" w:eastAsia="Times New Roman" w:hAnsi="Arial" w:cs="Arial"/>
                <w:sz w:val="16"/>
                <w:szCs w:val="16"/>
                <w:lang w:eastAsia="es-CO"/>
              </w:rPr>
              <w:t>l</w:t>
            </w:r>
            <w:r w:rsidR="00E50A1F">
              <w:rPr>
                <w:rFonts w:ascii="Arial" w:eastAsia="Times New Roman" w:hAnsi="Arial" w:cs="Arial"/>
                <w:sz w:val="16"/>
                <w:szCs w:val="16"/>
                <w:lang w:eastAsia="es-CO"/>
              </w:rPr>
              <w:t>itativa</w:t>
            </w:r>
            <w:proofErr w:type="spellEnd"/>
            <w:r w:rsidRPr="00853EB6">
              <w:rPr>
                <w:rFonts w:ascii="Arial" w:eastAsia="Times New Roman" w:hAnsi="Arial" w:cs="Arial"/>
                <w:sz w:val="16"/>
                <w:szCs w:val="16"/>
                <w:lang w:eastAsia="es-CO"/>
              </w:rPr>
              <w:t xml:space="preserve"> que identifica estado actual actas de liquidación por SRA, vigencia, número de contrato, objeto, supervisión, fecha suscripción, terminación, 4 semáforos por tiempos para realizar actas de liquidación, estado, fecha y observación por Regional. Correos de julio, agosto, septiembre, octubre, noviembre y diciembre de 2022.</w:t>
            </w:r>
          </w:p>
        </w:tc>
      </w:tr>
      <w:tr w:rsidR="00853EB6" w:rsidRPr="00853EB6" w14:paraId="6CBA7BC2" w14:textId="77777777" w:rsidTr="00E50A1F">
        <w:trPr>
          <w:trHeight w:val="2174"/>
        </w:trPr>
        <w:tc>
          <w:tcPr>
            <w:tcW w:w="2684" w:type="dxa"/>
            <w:shd w:val="clear" w:color="000000" w:fill="FFFFFF"/>
            <w:vAlign w:val="center"/>
            <w:hideMark/>
          </w:tcPr>
          <w:p w14:paraId="505BBA7C" w14:textId="2D728B68"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b/>
                <w:bCs/>
                <w:sz w:val="16"/>
                <w:szCs w:val="16"/>
                <w:lang w:eastAsia="es-CO"/>
              </w:rPr>
              <w:t>N°80 Adquisiciones Contrato 47 SRAEC 2019</w:t>
            </w:r>
            <w:r w:rsidRPr="00853EB6">
              <w:rPr>
                <w:rFonts w:ascii="Arial" w:eastAsia="Times New Roman" w:hAnsi="Arial" w:cs="Arial"/>
                <w:sz w:val="16"/>
                <w:szCs w:val="16"/>
                <w:lang w:eastAsia="es-CO"/>
              </w:rPr>
              <w:t xml:space="preserve">, se evidencia incumplimiento por suministro e instalación de elementos no previstos en el estudio previo y oferta, a pesar del diagnóstico previo el mantenimiento </w:t>
            </w:r>
            <w:r w:rsidR="00BC4504" w:rsidRPr="00853EB6">
              <w:rPr>
                <w:rFonts w:ascii="Arial" w:eastAsia="Times New Roman" w:hAnsi="Arial" w:cs="Arial"/>
                <w:sz w:val="16"/>
                <w:szCs w:val="16"/>
                <w:lang w:eastAsia="es-CO"/>
              </w:rPr>
              <w:t>correctivo a</w:t>
            </w:r>
            <w:r w:rsidRPr="00853EB6">
              <w:rPr>
                <w:rFonts w:ascii="Arial" w:eastAsia="Times New Roman" w:hAnsi="Arial" w:cs="Arial"/>
                <w:sz w:val="16"/>
                <w:szCs w:val="16"/>
                <w:lang w:eastAsia="es-CO"/>
              </w:rPr>
              <w:t xml:space="preserve"> la UPS, no se logró dejar el equipo operativo, no se evidencia la totalidad de las fichas técnicas, se incumplió el control de los mantenimientos a los equipos.</w:t>
            </w:r>
          </w:p>
        </w:tc>
        <w:tc>
          <w:tcPr>
            <w:tcW w:w="1412" w:type="dxa"/>
            <w:shd w:val="clear" w:color="000000" w:fill="FFFFFF"/>
            <w:hideMark/>
          </w:tcPr>
          <w:p w14:paraId="6A0E0933"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Debilidades en la identificación de la necesidad </w:t>
            </w:r>
          </w:p>
        </w:tc>
        <w:tc>
          <w:tcPr>
            <w:tcW w:w="1635" w:type="dxa"/>
            <w:shd w:val="clear" w:color="000000" w:fill="FFFFFF"/>
            <w:hideMark/>
          </w:tcPr>
          <w:p w14:paraId="5A5FBFF7"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Adelantar seguimiento al cumplimiento de las obligaciones contractuales</w:t>
            </w:r>
          </w:p>
        </w:tc>
        <w:tc>
          <w:tcPr>
            <w:tcW w:w="1910" w:type="dxa"/>
            <w:shd w:val="clear" w:color="000000" w:fill="FFFFFF"/>
            <w:hideMark/>
          </w:tcPr>
          <w:p w14:paraId="0DBBBEFC"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Realizar seguimiento aleatorio al cumplimiento de las obligaciones contractuales y funciones de supervisión.</w:t>
            </w:r>
          </w:p>
        </w:tc>
        <w:tc>
          <w:tcPr>
            <w:tcW w:w="1403" w:type="dxa"/>
            <w:shd w:val="clear" w:color="000000" w:fill="FFFFFF"/>
            <w:hideMark/>
          </w:tcPr>
          <w:p w14:paraId="769A7DC5"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Informes trimestrales de seguimiento</w:t>
            </w:r>
          </w:p>
        </w:tc>
        <w:tc>
          <w:tcPr>
            <w:tcW w:w="692" w:type="dxa"/>
            <w:shd w:val="clear" w:color="000000" w:fill="FFFFFF"/>
            <w:hideMark/>
          </w:tcPr>
          <w:p w14:paraId="1FD7DF9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2</w:t>
            </w:r>
          </w:p>
        </w:tc>
        <w:tc>
          <w:tcPr>
            <w:tcW w:w="941" w:type="dxa"/>
            <w:shd w:val="clear" w:color="000000" w:fill="FFFFFF"/>
            <w:hideMark/>
          </w:tcPr>
          <w:p w14:paraId="37A8477E"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1-jul-22</w:t>
            </w:r>
          </w:p>
        </w:tc>
        <w:tc>
          <w:tcPr>
            <w:tcW w:w="1047" w:type="dxa"/>
            <w:shd w:val="clear" w:color="000000" w:fill="FFFFFF"/>
            <w:hideMark/>
          </w:tcPr>
          <w:p w14:paraId="4DCB7EBF"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31-dic-22</w:t>
            </w:r>
          </w:p>
        </w:tc>
        <w:tc>
          <w:tcPr>
            <w:tcW w:w="879" w:type="dxa"/>
            <w:shd w:val="clear" w:color="000000" w:fill="FFFFFF"/>
            <w:hideMark/>
          </w:tcPr>
          <w:p w14:paraId="7244B89F" w14:textId="77777777" w:rsidR="00853EB6" w:rsidRPr="00853EB6" w:rsidRDefault="00853EB6" w:rsidP="00853EB6">
            <w:pPr>
              <w:jc w:val="center"/>
              <w:rPr>
                <w:rFonts w:ascii="Arial" w:eastAsia="Times New Roman" w:hAnsi="Arial" w:cs="Arial"/>
                <w:b/>
                <w:bCs/>
                <w:sz w:val="16"/>
                <w:szCs w:val="16"/>
                <w:lang w:eastAsia="es-CO"/>
              </w:rPr>
            </w:pPr>
            <w:r w:rsidRPr="00853EB6">
              <w:rPr>
                <w:rFonts w:ascii="Arial" w:eastAsia="Times New Roman" w:hAnsi="Arial" w:cs="Arial"/>
                <w:b/>
                <w:bCs/>
                <w:sz w:val="16"/>
                <w:szCs w:val="16"/>
                <w:lang w:eastAsia="es-CO"/>
              </w:rPr>
              <w:t>2</w:t>
            </w:r>
          </w:p>
        </w:tc>
        <w:tc>
          <w:tcPr>
            <w:tcW w:w="959" w:type="dxa"/>
            <w:shd w:val="clear" w:color="000000" w:fill="FFFFFF"/>
            <w:hideMark/>
          </w:tcPr>
          <w:p w14:paraId="516B9F60" w14:textId="77777777" w:rsidR="00853EB6" w:rsidRPr="00853EB6" w:rsidRDefault="00853EB6" w:rsidP="00853EB6">
            <w:pPr>
              <w:jc w:val="center"/>
              <w:rPr>
                <w:rFonts w:ascii="Arial" w:eastAsia="Times New Roman" w:hAnsi="Arial" w:cs="Arial"/>
                <w:sz w:val="16"/>
                <w:szCs w:val="16"/>
                <w:lang w:eastAsia="es-CO"/>
              </w:rPr>
            </w:pPr>
            <w:r w:rsidRPr="00853EB6">
              <w:rPr>
                <w:rFonts w:ascii="Arial" w:eastAsia="Times New Roman" w:hAnsi="Arial" w:cs="Arial"/>
                <w:sz w:val="16"/>
                <w:szCs w:val="16"/>
                <w:lang w:eastAsia="es-CO"/>
              </w:rPr>
              <w:t>100%</w:t>
            </w:r>
          </w:p>
        </w:tc>
        <w:tc>
          <w:tcPr>
            <w:tcW w:w="2053" w:type="dxa"/>
            <w:shd w:val="clear" w:color="000000" w:fill="FFFFFF"/>
            <w:hideMark/>
          </w:tcPr>
          <w:p w14:paraId="378B0E90" w14:textId="77777777" w:rsidR="00853EB6" w:rsidRPr="00853EB6" w:rsidRDefault="00853EB6" w:rsidP="00853EB6">
            <w:pPr>
              <w:jc w:val="both"/>
              <w:rPr>
                <w:rFonts w:ascii="Arial" w:eastAsia="Times New Roman" w:hAnsi="Arial" w:cs="Arial"/>
                <w:sz w:val="16"/>
                <w:szCs w:val="16"/>
                <w:lang w:eastAsia="es-CO"/>
              </w:rPr>
            </w:pPr>
            <w:r w:rsidRPr="00853EB6">
              <w:rPr>
                <w:rFonts w:ascii="Arial" w:eastAsia="Times New Roman" w:hAnsi="Arial" w:cs="Arial"/>
                <w:sz w:val="16"/>
                <w:szCs w:val="16"/>
                <w:lang w:eastAsia="es-CO"/>
              </w:rPr>
              <w:t xml:space="preserve">A 31-12-22 se evidenció: Informe supervisión de 10-06-22 a 18-07-22 de seguimiento al </w:t>
            </w:r>
            <w:proofErr w:type="spellStart"/>
            <w:r w:rsidRPr="00853EB6">
              <w:rPr>
                <w:rFonts w:ascii="Arial" w:eastAsia="Times New Roman" w:hAnsi="Arial" w:cs="Arial"/>
                <w:sz w:val="16"/>
                <w:szCs w:val="16"/>
                <w:lang w:eastAsia="es-CO"/>
              </w:rPr>
              <w:t>cto</w:t>
            </w:r>
            <w:proofErr w:type="spellEnd"/>
            <w:r w:rsidRPr="00853EB6">
              <w:rPr>
                <w:rFonts w:ascii="Arial" w:eastAsia="Times New Roman" w:hAnsi="Arial" w:cs="Arial"/>
                <w:sz w:val="16"/>
                <w:szCs w:val="16"/>
                <w:lang w:eastAsia="es-CO"/>
              </w:rPr>
              <w:t xml:space="preserve"> FGN-REC-0009-2022 del 30-5-2022; Informe supervisión de 19-07-22 al 30-08-22. Presentaron los informes del contrato relacionado en el hallazgo.</w:t>
            </w:r>
          </w:p>
        </w:tc>
      </w:tr>
    </w:tbl>
    <w:p w14:paraId="6D875184" w14:textId="77777777" w:rsidR="003839D4" w:rsidRPr="009E31A5" w:rsidRDefault="003839D4" w:rsidP="00E50A1F">
      <w:pPr>
        <w:rPr>
          <w:rFonts w:ascii="Arial" w:hAnsi="Arial" w:cs="Arial"/>
        </w:rPr>
      </w:pPr>
    </w:p>
    <w:sectPr w:rsidR="003839D4" w:rsidRPr="009E31A5" w:rsidSect="00853EB6">
      <w:headerReference w:type="default" r:id="rId18"/>
      <w:footerReference w:type="default" r:id="rId19"/>
      <w:pgSz w:w="16838" w:h="11906" w:orient="landscape"/>
      <w:pgMar w:top="720" w:right="720" w:bottom="720" w:left="720"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6E411" w14:textId="77777777" w:rsidR="00DD144B" w:rsidRDefault="00DD144B" w:rsidP="00D41237">
      <w:r>
        <w:separator/>
      </w:r>
    </w:p>
  </w:endnote>
  <w:endnote w:type="continuationSeparator" w:id="0">
    <w:p w14:paraId="415D2F79" w14:textId="77777777" w:rsidR="00DD144B" w:rsidRDefault="00DD144B" w:rsidP="00D4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33BD" w14:textId="4AD5A586" w:rsidR="00DD144B" w:rsidRDefault="00DD144B" w:rsidP="007F09D7">
    <w:pPr>
      <w:tabs>
        <w:tab w:val="left" w:pos="3240"/>
      </w:tabs>
      <w:spacing w:line="100" w:lineRule="atLeast"/>
    </w:pPr>
    <w:r>
      <w:rPr>
        <w:rFonts w:ascii="Arial" w:eastAsia="Times New Roman" w:hAnsi="Arial" w:cs="Arial"/>
        <w:noProof/>
        <w:sz w:val="12"/>
        <w:szCs w:val="12"/>
        <w:lang w:val="en-US"/>
      </w:rPr>
      <w:drawing>
        <wp:anchor distT="0" distB="0" distL="114300" distR="114300" simplePos="0" relativeHeight="251659264" behindDoc="0" locked="0" layoutInCell="1" allowOverlap="1" wp14:anchorId="1B485B2B" wp14:editId="41DE3F43">
          <wp:simplePos x="0" y="0"/>
          <wp:positionH relativeFrom="column">
            <wp:posOffset>4252600</wp:posOffset>
          </wp:positionH>
          <wp:positionV relativeFrom="paragraph">
            <wp:posOffset>-152768</wp:posOffset>
          </wp:positionV>
          <wp:extent cx="1572896" cy="505462"/>
          <wp:effectExtent l="0" t="0" r="1904" b="2538"/>
          <wp:wrapSquare wrapText="bothSides"/>
          <wp:docPr id="1816153233" name="Imagen 1816153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572896" cy="505462"/>
                  </a:xfrm>
                  <a:prstGeom prst="rect">
                    <a:avLst/>
                  </a:prstGeom>
                  <a:noFill/>
                  <a:ln>
                    <a:noFill/>
                    <a:prstDash/>
                  </a:ln>
                </pic:spPr>
              </pic:pic>
            </a:graphicData>
          </a:graphic>
        </wp:anchor>
      </w:drawing>
    </w:r>
    <w:r>
      <w:rPr>
        <w:rFonts w:ascii="Arial" w:eastAsia="Times New Roman" w:hAnsi="Arial" w:cs="Times New Roman"/>
        <w:sz w:val="16"/>
        <w:szCs w:val="16"/>
        <w:lang w:val="it-IT"/>
      </w:rPr>
      <w:t>DIRECCIÓN DE CONTROL INTERNO</w:t>
    </w:r>
    <w:r>
      <w:rPr>
        <w:rFonts w:ascii="Arial" w:eastAsia="Times New Roman" w:hAnsi="Arial" w:cs="Times New Roman"/>
        <w:sz w:val="16"/>
        <w:szCs w:val="16"/>
        <w:lang w:val="it-IT"/>
      </w:rPr>
      <w:tab/>
    </w:r>
  </w:p>
  <w:p w14:paraId="24EBD059" w14:textId="77777777" w:rsidR="00DD144B" w:rsidRDefault="00DD144B" w:rsidP="00D41237">
    <w:pPr>
      <w:tabs>
        <w:tab w:val="center" w:pos="4252"/>
        <w:tab w:val="right" w:pos="8504"/>
      </w:tabs>
      <w:spacing w:line="100" w:lineRule="atLeast"/>
    </w:pPr>
    <w:r>
      <w:rPr>
        <w:rFonts w:ascii="Arial" w:hAnsi="Arial" w:cs="Arial"/>
        <w:sz w:val="12"/>
        <w:szCs w:val="12"/>
      </w:rPr>
      <w:t xml:space="preserve">AVENIDA CALLE 24 No. 52-01 </w:t>
    </w:r>
    <w:r>
      <w:rPr>
        <w:rFonts w:ascii="Arial" w:eastAsia="Times New Roman" w:hAnsi="Arial" w:cs="Arial"/>
        <w:sz w:val="12"/>
        <w:szCs w:val="12"/>
      </w:rPr>
      <w:t xml:space="preserve">EDIFICIO </w:t>
    </w:r>
    <w:r>
      <w:rPr>
        <w:rFonts w:ascii="Arial" w:eastAsia="Arial Unicode MS" w:hAnsi="Arial" w:cs="Arial"/>
        <w:sz w:val="12"/>
        <w:szCs w:val="12"/>
        <w:lang w:val="es-ES"/>
      </w:rPr>
      <w:t>GUSTAVO DE GREIFF</w:t>
    </w:r>
    <w:r>
      <w:rPr>
        <w:rFonts w:ascii="Arial" w:hAnsi="Arial" w:cs="Arial"/>
        <w:sz w:val="12"/>
        <w:szCs w:val="12"/>
      </w:rPr>
      <w:t xml:space="preserve"> PISO 2</w:t>
    </w:r>
    <w:r>
      <w:rPr>
        <w:rFonts w:ascii="Arial" w:eastAsia="Times New Roman" w:hAnsi="Arial" w:cs="Arial"/>
        <w:sz w:val="12"/>
        <w:szCs w:val="12"/>
      </w:rPr>
      <w:t xml:space="preserve"> BOGOTÁ D.C. CÓDIGO POSTAL 111311</w:t>
    </w:r>
  </w:p>
  <w:p w14:paraId="05A4B563" w14:textId="77777777" w:rsidR="00DD144B" w:rsidRDefault="00DD144B" w:rsidP="00D41237">
    <w:pPr>
      <w:tabs>
        <w:tab w:val="center" w:pos="4252"/>
        <w:tab w:val="right" w:pos="8504"/>
      </w:tabs>
      <w:spacing w:line="100" w:lineRule="atLeast"/>
      <w:rPr>
        <w:rFonts w:ascii="Arial" w:eastAsia="Times New Roman" w:hAnsi="Arial" w:cs="Arial"/>
        <w:sz w:val="12"/>
        <w:szCs w:val="12"/>
      </w:rPr>
    </w:pPr>
    <w:r>
      <w:rPr>
        <w:rFonts w:ascii="Arial" w:eastAsia="Times New Roman" w:hAnsi="Arial" w:cs="Arial"/>
        <w:sz w:val="12"/>
        <w:szCs w:val="12"/>
      </w:rPr>
      <w:t>CONMUTADOR: 5702000 EXT: 10720</w:t>
    </w:r>
  </w:p>
  <w:p w14:paraId="1ACF3C48" w14:textId="77777777" w:rsidR="00DD144B" w:rsidRDefault="00EA7A00" w:rsidP="00D41237">
    <w:pPr>
      <w:tabs>
        <w:tab w:val="center" w:pos="4252"/>
        <w:tab w:val="right" w:pos="8504"/>
      </w:tabs>
      <w:spacing w:line="100" w:lineRule="atLeast"/>
    </w:pPr>
    <w:hyperlink r:id="rId2" w:history="1">
      <w:r w:rsidR="00DD144B">
        <w:rPr>
          <w:rFonts w:ascii="Arial" w:eastAsia="Times New Roman" w:hAnsi="Arial" w:cs="Arial"/>
          <w:sz w:val="10"/>
          <w:szCs w:val="10"/>
        </w:rPr>
        <w:t>www.fiscalia.gov.co</w:t>
      </w:r>
    </w:hyperlink>
  </w:p>
  <w:p w14:paraId="25346E2E" w14:textId="77777777" w:rsidR="00DD144B" w:rsidRDefault="00DD144B">
    <w:pPr>
      <w:pStyle w:val="Encabezad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D1CA" w14:textId="77777777" w:rsidR="00DD144B" w:rsidRDefault="00DD144B">
    <w:pPr>
      <w:pStyle w:val="Encabezad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BD14E" w14:textId="77777777" w:rsidR="00DD144B" w:rsidRDefault="00DD144B" w:rsidP="00D41237">
      <w:r>
        <w:separator/>
      </w:r>
    </w:p>
  </w:footnote>
  <w:footnote w:type="continuationSeparator" w:id="0">
    <w:p w14:paraId="489318C9" w14:textId="77777777" w:rsidR="00DD144B" w:rsidRDefault="00DD144B" w:rsidP="00D41237">
      <w:r>
        <w:continuationSeparator/>
      </w:r>
    </w:p>
  </w:footnote>
  <w:footnote w:id="1">
    <w:p w14:paraId="60493A3D" w14:textId="508E655D" w:rsidR="00DD144B" w:rsidRPr="001F7B46" w:rsidRDefault="00DD144B" w:rsidP="001F7B46">
      <w:pPr>
        <w:ind w:left="142" w:hanging="142"/>
        <w:jc w:val="both"/>
        <w:rPr>
          <w:rFonts w:ascii="Arial" w:hAnsi="Arial" w:cs="Arial"/>
        </w:rPr>
      </w:pPr>
      <w:r w:rsidRPr="001F7B46">
        <w:rPr>
          <w:rFonts w:ascii="Arial" w:hAnsi="Arial" w:cs="Arial"/>
          <w:sz w:val="16"/>
          <w:szCs w:val="16"/>
          <w:vertAlign w:val="superscript"/>
        </w:rPr>
        <w:footnoteRef/>
      </w:r>
      <w:r>
        <w:t xml:space="preserve"> </w:t>
      </w:r>
      <w:r w:rsidRPr="001F7B46">
        <w:rPr>
          <w:rFonts w:ascii="Arial" w:hAnsi="Arial" w:cs="Arial"/>
          <w:sz w:val="16"/>
          <w:szCs w:val="16"/>
        </w:rPr>
        <w:t>La efectividad de las acciones de mejora se debe entender cuando un hallazgo o incumplimiento evidenciado en una Dependencia del Nivel Central o Seccional, no se vuelve a encontrar en ninguna parte de la FGN.</w:t>
      </w:r>
      <w:r w:rsidRPr="001F7B46">
        <w:rPr>
          <w:rFonts w:ascii="Arial" w:hAnsi="Arial" w:cs="Arial"/>
        </w:rPr>
        <w:t xml:space="preserve"> </w:t>
      </w:r>
    </w:p>
    <w:p w14:paraId="60840DFC" w14:textId="744C1AF9" w:rsidR="00DD144B" w:rsidRPr="002D6E0A" w:rsidRDefault="00DD144B">
      <w:pPr>
        <w:rPr>
          <w:lang w:val="es-ES"/>
        </w:rPr>
      </w:pPr>
    </w:p>
  </w:footnote>
  <w:footnote w:id="2">
    <w:p w14:paraId="19478D74" w14:textId="77777777" w:rsidR="00DD144B" w:rsidRPr="00F411A7" w:rsidRDefault="00DD144B" w:rsidP="00986794">
      <w:pPr>
        <w:pStyle w:val="Textonotapie"/>
        <w:rPr>
          <w:rFonts w:ascii="Arial" w:hAnsi="Arial" w:cs="Arial"/>
          <w:sz w:val="16"/>
          <w:szCs w:val="16"/>
          <w:lang w:val="es-ES"/>
        </w:rPr>
      </w:pPr>
      <w:r w:rsidRPr="00F411A7">
        <w:rPr>
          <w:rStyle w:val="Refdenotaalpie"/>
          <w:rFonts w:ascii="Arial" w:hAnsi="Arial" w:cs="Arial"/>
          <w:sz w:val="16"/>
          <w:szCs w:val="16"/>
        </w:rPr>
        <w:footnoteRef/>
      </w:r>
      <w:r w:rsidRPr="00F411A7">
        <w:rPr>
          <w:rFonts w:ascii="Arial" w:hAnsi="Arial" w:cs="Arial"/>
          <w:sz w:val="16"/>
          <w:szCs w:val="16"/>
        </w:rPr>
        <w:t xml:space="preserve"> </w:t>
      </w:r>
      <w:r w:rsidRPr="00F411A7">
        <w:rPr>
          <w:rFonts w:ascii="Arial" w:hAnsi="Arial" w:cs="Arial"/>
          <w:sz w:val="16"/>
          <w:szCs w:val="16"/>
          <w:lang w:val="es-ES"/>
        </w:rPr>
        <w:t>Acciones de mejoramiento que con corte a 31-12-2023 serán objeto del primer seguimiento.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12F7" w14:textId="1D184812" w:rsidR="00DD144B" w:rsidRDefault="00DD144B" w:rsidP="00D41237">
    <w:pPr>
      <w:pStyle w:val="NormalWeb"/>
      <w:jc w:val="center"/>
    </w:pPr>
    <w:r>
      <w:rPr>
        <w:rFonts w:ascii="Calibri" w:eastAsia="Calibri" w:hAnsi="Calibri"/>
        <w:noProof/>
        <w:lang w:val="en-US" w:eastAsia="en-US"/>
      </w:rPr>
      <w:drawing>
        <wp:inline distT="0" distB="0" distL="0" distR="0" wp14:anchorId="479191B0" wp14:editId="368EDACA">
          <wp:extent cx="945050" cy="1369350"/>
          <wp:effectExtent l="0" t="0" r="0" b="2250"/>
          <wp:docPr id="1486461881" name="Imagen 1486461881" descr="C:\Users\ilde.saenz\AppData\Local\Microsoft\Windows\Temporary Internet Files\Content.Outlook\BDWFRGO2\FGN B_N Vertical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2177" t="11046" r="13195" b="6832"/>
                  <a:stretch>
                    <a:fillRect/>
                  </a:stretch>
                </pic:blipFill>
                <pic:spPr>
                  <a:xfrm>
                    <a:off x="0" y="0"/>
                    <a:ext cx="945050" cy="1369350"/>
                  </a:xfrm>
                  <a:prstGeom prst="rect">
                    <a:avLst/>
                  </a:prstGeom>
                  <a:noFill/>
                  <a:ln>
                    <a:noFill/>
                    <a:prstDash/>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35DA" w14:textId="281D6118" w:rsidR="00DD144B" w:rsidRDefault="00DD144B" w:rsidP="00D41237">
    <w:pPr>
      <w:pStyle w:val="NormalWe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827"/>
    <w:multiLevelType w:val="hybridMultilevel"/>
    <w:tmpl w:val="0D12DC2A"/>
    <w:lvl w:ilvl="0" w:tplc="240A000D">
      <w:start w:val="1"/>
      <w:numFmt w:val="bullet"/>
      <w:lvlText w:val=""/>
      <w:lvlJc w:val="left"/>
      <w:rPr>
        <w:rFonts w:ascii="Wingdings" w:hAnsi="Wingdings" w:hint="default"/>
      </w:rPr>
    </w:lvl>
    <w:lvl w:ilvl="1" w:tplc="240A0003" w:tentative="1">
      <w:start w:val="1"/>
      <w:numFmt w:val="bullet"/>
      <w:lvlText w:val="o"/>
      <w:lvlJc w:val="left"/>
      <w:pPr>
        <w:ind w:left="1020" w:hanging="360"/>
      </w:pPr>
      <w:rPr>
        <w:rFonts w:ascii="Courier New" w:hAnsi="Courier New" w:cs="Courier New" w:hint="default"/>
      </w:rPr>
    </w:lvl>
    <w:lvl w:ilvl="2" w:tplc="240A0005" w:tentative="1">
      <w:start w:val="1"/>
      <w:numFmt w:val="bullet"/>
      <w:lvlText w:val=""/>
      <w:lvlJc w:val="left"/>
      <w:pPr>
        <w:ind w:left="1740" w:hanging="360"/>
      </w:pPr>
      <w:rPr>
        <w:rFonts w:ascii="Wingdings" w:hAnsi="Wingdings" w:hint="default"/>
      </w:rPr>
    </w:lvl>
    <w:lvl w:ilvl="3" w:tplc="240A0001" w:tentative="1">
      <w:start w:val="1"/>
      <w:numFmt w:val="bullet"/>
      <w:lvlText w:val=""/>
      <w:lvlJc w:val="left"/>
      <w:pPr>
        <w:ind w:left="2460" w:hanging="360"/>
      </w:pPr>
      <w:rPr>
        <w:rFonts w:ascii="Symbol" w:hAnsi="Symbol" w:hint="default"/>
      </w:rPr>
    </w:lvl>
    <w:lvl w:ilvl="4" w:tplc="240A0003" w:tentative="1">
      <w:start w:val="1"/>
      <w:numFmt w:val="bullet"/>
      <w:lvlText w:val="o"/>
      <w:lvlJc w:val="left"/>
      <w:pPr>
        <w:ind w:left="3180" w:hanging="360"/>
      </w:pPr>
      <w:rPr>
        <w:rFonts w:ascii="Courier New" w:hAnsi="Courier New" w:cs="Courier New" w:hint="default"/>
      </w:rPr>
    </w:lvl>
    <w:lvl w:ilvl="5" w:tplc="240A0005" w:tentative="1">
      <w:start w:val="1"/>
      <w:numFmt w:val="bullet"/>
      <w:lvlText w:val=""/>
      <w:lvlJc w:val="left"/>
      <w:pPr>
        <w:ind w:left="3900" w:hanging="360"/>
      </w:pPr>
      <w:rPr>
        <w:rFonts w:ascii="Wingdings" w:hAnsi="Wingdings" w:hint="default"/>
      </w:rPr>
    </w:lvl>
    <w:lvl w:ilvl="6" w:tplc="240A0001" w:tentative="1">
      <w:start w:val="1"/>
      <w:numFmt w:val="bullet"/>
      <w:lvlText w:val=""/>
      <w:lvlJc w:val="left"/>
      <w:pPr>
        <w:ind w:left="4620" w:hanging="360"/>
      </w:pPr>
      <w:rPr>
        <w:rFonts w:ascii="Symbol" w:hAnsi="Symbol" w:hint="default"/>
      </w:rPr>
    </w:lvl>
    <w:lvl w:ilvl="7" w:tplc="240A0003" w:tentative="1">
      <w:start w:val="1"/>
      <w:numFmt w:val="bullet"/>
      <w:lvlText w:val="o"/>
      <w:lvlJc w:val="left"/>
      <w:pPr>
        <w:ind w:left="5340" w:hanging="360"/>
      </w:pPr>
      <w:rPr>
        <w:rFonts w:ascii="Courier New" w:hAnsi="Courier New" w:cs="Courier New" w:hint="default"/>
      </w:rPr>
    </w:lvl>
    <w:lvl w:ilvl="8" w:tplc="240A0005" w:tentative="1">
      <w:start w:val="1"/>
      <w:numFmt w:val="bullet"/>
      <w:lvlText w:val=""/>
      <w:lvlJc w:val="left"/>
      <w:pPr>
        <w:ind w:left="6060" w:hanging="360"/>
      </w:pPr>
      <w:rPr>
        <w:rFonts w:ascii="Wingdings" w:hAnsi="Wingdings" w:hint="default"/>
      </w:rPr>
    </w:lvl>
  </w:abstractNum>
  <w:abstractNum w:abstractNumId="1" w15:restartNumberingAfterBreak="0">
    <w:nsid w:val="041838B9"/>
    <w:multiLevelType w:val="hybridMultilevel"/>
    <w:tmpl w:val="AEB879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CAA03E5"/>
    <w:multiLevelType w:val="hybridMultilevel"/>
    <w:tmpl w:val="381862F0"/>
    <w:lvl w:ilvl="0" w:tplc="040A0001">
      <w:start w:val="1"/>
      <w:numFmt w:val="bullet"/>
      <w:lvlText w:val=""/>
      <w:lvlJc w:val="left"/>
      <w:pPr>
        <w:ind w:left="360" w:hanging="360"/>
      </w:pPr>
      <w:rPr>
        <w:rFonts w:ascii="Symbol" w:hAnsi="Symbol" w:cs="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FD64278"/>
    <w:multiLevelType w:val="multilevel"/>
    <w:tmpl w:val="C45814E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0370B8"/>
    <w:multiLevelType w:val="hybridMultilevel"/>
    <w:tmpl w:val="37AE8684"/>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726EE5"/>
    <w:multiLevelType w:val="hybridMultilevel"/>
    <w:tmpl w:val="1F9604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4B10B4E"/>
    <w:multiLevelType w:val="hybridMultilevel"/>
    <w:tmpl w:val="C3562D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2A1D2D"/>
    <w:multiLevelType w:val="multilevel"/>
    <w:tmpl w:val="1916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F7BB4"/>
    <w:multiLevelType w:val="multilevel"/>
    <w:tmpl w:val="0C96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666B02"/>
    <w:multiLevelType w:val="hybridMultilevel"/>
    <w:tmpl w:val="E81E7D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1BC09A3"/>
    <w:multiLevelType w:val="multilevel"/>
    <w:tmpl w:val="DD70A82C"/>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22C267A"/>
    <w:multiLevelType w:val="hybridMultilevel"/>
    <w:tmpl w:val="9404FDC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A4834A7"/>
    <w:multiLevelType w:val="multilevel"/>
    <w:tmpl w:val="62A85A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67F90A81"/>
    <w:multiLevelType w:val="multilevel"/>
    <w:tmpl w:val="3110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5A181B"/>
    <w:multiLevelType w:val="hybridMultilevel"/>
    <w:tmpl w:val="92B6ED2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7E3D3566"/>
    <w:multiLevelType w:val="hybridMultilevel"/>
    <w:tmpl w:val="7C1E29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24984529">
    <w:abstractNumId w:val="12"/>
  </w:num>
  <w:num w:numId="2" w16cid:durableId="602494474">
    <w:abstractNumId w:val="2"/>
  </w:num>
  <w:num w:numId="3" w16cid:durableId="155343237">
    <w:abstractNumId w:val="8"/>
  </w:num>
  <w:num w:numId="4" w16cid:durableId="899557107">
    <w:abstractNumId w:val="13"/>
  </w:num>
  <w:num w:numId="5" w16cid:durableId="836771058">
    <w:abstractNumId w:val="5"/>
  </w:num>
  <w:num w:numId="6" w16cid:durableId="1594169184">
    <w:abstractNumId w:val="7"/>
  </w:num>
  <w:num w:numId="7" w16cid:durableId="1628004031">
    <w:abstractNumId w:val="1"/>
  </w:num>
  <w:num w:numId="8" w16cid:durableId="350450099">
    <w:abstractNumId w:val="3"/>
  </w:num>
  <w:num w:numId="9" w16cid:durableId="2132438397">
    <w:abstractNumId w:val="15"/>
  </w:num>
  <w:num w:numId="10" w16cid:durableId="2033409935">
    <w:abstractNumId w:val="0"/>
  </w:num>
  <w:num w:numId="11" w16cid:durableId="1027027189">
    <w:abstractNumId w:val="6"/>
  </w:num>
  <w:num w:numId="12" w16cid:durableId="2017657012">
    <w:abstractNumId w:val="10"/>
  </w:num>
  <w:num w:numId="13" w16cid:durableId="379205303">
    <w:abstractNumId w:val="11"/>
  </w:num>
  <w:num w:numId="14" w16cid:durableId="1843664679">
    <w:abstractNumId w:val="14"/>
  </w:num>
  <w:num w:numId="15" w16cid:durableId="1837181952">
    <w:abstractNumId w:val="9"/>
  </w:num>
  <w:num w:numId="16" w16cid:durableId="3141871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846"/>
    <w:rsid w:val="0000184D"/>
    <w:rsid w:val="000026CD"/>
    <w:rsid w:val="000044B0"/>
    <w:rsid w:val="000332B1"/>
    <w:rsid w:val="00033717"/>
    <w:rsid w:val="00044499"/>
    <w:rsid w:val="000536A2"/>
    <w:rsid w:val="00054B0A"/>
    <w:rsid w:val="00055862"/>
    <w:rsid w:val="00060E52"/>
    <w:rsid w:val="00062954"/>
    <w:rsid w:val="00062C56"/>
    <w:rsid w:val="00065C02"/>
    <w:rsid w:val="00067537"/>
    <w:rsid w:val="00073E9C"/>
    <w:rsid w:val="0007643C"/>
    <w:rsid w:val="000A4C16"/>
    <w:rsid w:val="000A5762"/>
    <w:rsid w:val="000B1D92"/>
    <w:rsid w:val="000B4ACD"/>
    <w:rsid w:val="000D2586"/>
    <w:rsid w:val="000D71C9"/>
    <w:rsid w:val="000F6F26"/>
    <w:rsid w:val="001020CE"/>
    <w:rsid w:val="0010793C"/>
    <w:rsid w:val="00117FDD"/>
    <w:rsid w:val="001206FD"/>
    <w:rsid w:val="001243FD"/>
    <w:rsid w:val="00126749"/>
    <w:rsid w:val="00126771"/>
    <w:rsid w:val="00135F29"/>
    <w:rsid w:val="00136401"/>
    <w:rsid w:val="00142DEE"/>
    <w:rsid w:val="00143770"/>
    <w:rsid w:val="001515EF"/>
    <w:rsid w:val="0016626B"/>
    <w:rsid w:val="00173532"/>
    <w:rsid w:val="00180EEC"/>
    <w:rsid w:val="001819C8"/>
    <w:rsid w:val="00181F3E"/>
    <w:rsid w:val="00195292"/>
    <w:rsid w:val="00196350"/>
    <w:rsid w:val="001B21ED"/>
    <w:rsid w:val="001B6060"/>
    <w:rsid w:val="001C2390"/>
    <w:rsid w:val="001C4A98"/>
    <w:rsid w:val="001C4F2B"/>
    <w:rsid w:val="001C5752"/>
    <w:rsid w:val="001C5A87"/>
    <w:rsid w:val="001D6441"/>
    <w:rsid w:val="001D77CB"/>
    <w:rsid w:val="001E3994"/>
    <w:rsid w:val="001E49C1"/>
    <w:rsid w:val="001F5725"/>
    <w:rsid w:val="001F7583"/>
    <w:rsid w:val="001F7B46"/>
    <w:rsid w:val="0020054A"/>
    <w:rsid w:val="002077EE"/>
    <w:rsid w:val="00230A7C"/>
    <w:rsid w:val="00240154"/>
    <w:rsid w:val="00241AB8"/>
    <w:rsid w:val="002441D0"/>
    <w:rsid w:val="002506ED"/>
    <w:rsid w:val="00254FBE"/>
    <w:rsid w:val="0026380C"/>
    <w:rsid w:val="00263D32"/>
    <w:rsid w:val="00264846"/>
    <w:rsid w:val="002702BE"/>
    <w:rsid w:val="00270BE2"/>
    <w:rsid w:val="00276954"/>
    <w:rsid w:val="00277517"/>
    <w:rsid w:val="00277AD2"/>
    <w:rsid w:val="002867A0"/>
    <w:rsid w:val="002974ED"/>
    <w:rsid w:val="002A5C5E"/>
    <w:rsid w:val="002B1D1B"/>
    <w:rsid w:val="002B3AA5"/>
    <w:rsid w:val="002B6F5F"/>
    <w:rsid w:val="002D1583"/>
    <w:rsid w:val="002D1D19"/>
    <w:rsid w:val="002D6E0A"/>
    <w:rsid w:val="002D7FA3"/>
    <w:rsid w:val="002F05B7"/>
    <w:rsid w:val="002F5677"/>
    <w:rsid w:val="00301223"/>
    <w:rsid w:val="00310819"/>
    <w:rsid w:val="00313463"/>
    <w:rsid w:val="00316A08"/>
    <w:rsid w:val="00320AC6"/>
    <w:rsid w:val="003310CD"/>
    <w:rsid w:val="00336CEC"/>
    <w:rsid w:val="003633CF"/>
    <w:rsid w:val="0036405C"/>
    <w:rsid w:val="00364B69"/>
    <w:rsid w:val="0037544F"/>
    <w:rsid w:val="00380F04"/>
    <w:rsid w:val="003835CF"/>
    <w:rsid w:val="003839D4"/>
    <w:rsid w:val="00384D3F"/>
    <w:rsid w:val="00394980"/>
    <w:rsid w:val="003A2ACD"/>
    <w:rsid w:val="003A49D7"/>
    <w:rsid w:val="003A65EF"/>
    <w:rsid w:val="003B25B5"/>
    <w:rsid w:val="003B39AA"/>
    <w:rsid w:val="003C14A1"/>
    <w:rsid w:val="003C2840"/>
    <w:rsid w:val="003C6F65"/>
    <w:rsid w:val="003C7655"/>
    <w:rsid w:val="003D1703"/>
    <w:rsid w:val="003D2FC8"/>
    <w:rsid w:val="003D4A25"/>
    <w:rsid w:val="003D5F78"/>
    <w:rsid w:val="003E2F3A"/>
    <w:rsid w:val="003F6464"/>
    <w:rsid w:val="00402FB7"/>
    <w:rsid w:val="004177E8"/>
    <w:rsid w:val="00437C01"/>
    <w:rsid w:val="00440CDA"/>
    <w:rsid w:val="00441178"/>
    <w:rsid w:val="00441A2F"/>
    <w:rsid w:val="00442130"/>
    <w:rsid w:val="004423D4"/>
    <w:rsid w:val="00453CC5"/>
    <w:rsid w:val="00474D10"/>
    <w:rsid w:val="004829E9"/>
    <w:rsid w:val="00486A96"/>
    <w:rsid w:val="00491908"/>
    <w:rsid w:val="00493111"/>
    <w:rsid w:val="004A1DDE"/>
    <w:rsid w:val="004A2275"/>
    <w:rsid w:val="004A2C01"/>
    <w:rsid w:val="004A554D"/>
    <w:rsid w:val="004A6F8A"/>
    <w:rsid w:val="004B45E4"/>
    <w:rsid w:val="004B6511"/>
    <w:rsid w:val="004C2B62"/>
    <w:rsid w:val="004F3459"/>
    <w:rsid w:val="004F435E"/>
    <w:rsid w:val="005016DF"/>
    <w:rsid w:val="00505BB4"/>
    <w:rsid w:val="00510C2B"/>
    <w:rsid w:val="005232EB"/>
    <w:rsid w:val="00530921"/>
    <w:rsid w:val="00530994"/>
    <w:rsid w:val="00531FC9"/>
    <w:rsid w:val="00550402"/>
    <w:rsid w:val="005510BF"/>
    <w:rsid w:val="005511FE"/>
    <w:rsid w:val="00556299"/>
    <w:rsid w:val="00561D79"/>
    <w:rsid w:val="00563172"/>
    <w:rsid w:val="00563822"/>
    <w:rsid w:val="00566B49"/>
    <w:rsid w:val="005807DC"/>
    <w:rsid w:val="00581AC5"/>
    <w:rsid w:val="00581AD8"/>
    <w:rsid w:val="00585729"/>
    <w:rsid w:val="00590103"/>
    <w:rsid w:val="0059431E"/>
    <w:rsid w:val="00595BB4"/>
    <w:rsid w:val="005A7D0E"/>
    <w:rsid w:val="005C13F2"/>
    <w:rsid w:val="005C2B93"/>
    <w:rsid w:val="005C2CC4"/>
    <w:rsid w:val="005C7741"/>
    <w:rsid w:val="005F3601"/>
    <w:rsid w:val="005F7A02"/>
    <w:rsid w:val="005F7A4B"/>
    <w:rsid w:val="006045E3"/>
    <w:rsid w:val="00610AEE"/>
    <w:rsid w:val="006123ED"/>
    <w:rsid w:val="006150DA"/>
    <w:rsid w:val="006225F8"/>
    <w:rsid w:val="00623732"/>
    <w:rsid w:val="00623B9D"/>
    <w:rsid w:val="0063137F"/>
    <w:rsid w:val="00631463"/>
    <w:rsid w:val="00631745"/>
    <w:rsid w:val="00634E68"/>
    <w:rsid w:val="006366C2"/>
    <w:rsid w:val="00646073"/>
    <w:rsid w:val="0064730B"/>
    <w:rsid w:val="00660282"/>
    <w:rsid w:val="00660CDB"/>
    <w:rsid w:val="00662C7B"/>
    <w:rsid w:val="00664862"/>
    <w:rsid w:val="0066545F"/>
    <w:rsid w:val="00675C2E"/>
    <w:rsid w:val="00677592"/>
    <w:rsid w:val="00677DE5"/>
    <w:rsid w:val="00682897"/>
    <w:rsid w:val="0068594E"/>
    <w:rsid w:val="006A69ED"/>
    <w:rsid w:val="006B0D63"/>
    <w:rsid w:val="006B1F00"/>
    <w:rsid w:val="006B601E"/>
    <w:rsid w:val="006C0ABF"/>
    <w:rsid w:val="006C4860"/>
    <w:rsid w:val="006D1785"/>
    <w:rsid w:val="006D2EFC"/>
    <w:rsid w:val="006E3829"/>
    <w:rsid w:val="006E5F91"/>
    <w:rsid w:val="006E64D7"/>
    <w:rsid w:val="006F0EFA"/>
    <w:rsid w:val="006F3340"/>
    <w:rsid w:val="00706C95"/>
    <w:rsid w:val="00716BE3"/>
    <w:rsid w:val="00722F4C"/>
    <w:rsid w:val="00727DE8"/>
    <w:rsid w:val="0077003B"/>
    <w:rsid w:val="007768C9"/>
    <w:rsid w:val="00777A23"/>
    <w:rsid w:val="00777AE5"/>
    <w:rsid w:val="00782371"/>
    <w:rsid w:val="00786B9B"/>
    <w:rsid w:val="00793EE6"/>
    <w:rsid w:val="007A5709"/>
    <w:rsid w:val="007A7EC1"/>
    <w:rsid w:val="007B095A"/>
    <w:rsid w:val="007B19D9"/>
    <w:rsid w:val="007B26E6"/>
    <w:rsid w:val="007B54C6"/>
    <w:rsid w:val="007B5CFB"/>
    <w:rsid w:val="007C0640"/>
    <w:rsid w:val="007C0A68"/>
    <w:rsid w:val="007C2337"/>
    <w:rsid w:val="007D19C0"/>
    <w:rsid w:val="007D4B50"/>
    <w:rsid w:val="007D7435"/>
    <w:rsid w:val="007E0DF5"/>
    <w:rsid w:val="007E2BF0"/>
    <w:rsid w:val="007E333C"/>
    <w:rsid w:val="007E79BB"/>
    <w:rsid w:val="007F02ED"/>
    <w:rsid w:val="007F07D8"/>
    <w:rsid w:val="007F09D7"/>
    <w:rsid w:val="007F3974"/>
    <w:rsid w:val="0080087B"/>
    <w:rsid w:val="00803203"/>
    <w:rsid w:val="008067C3"/>
    <w:rsid w:val="00807AB6"/>
    <w:rsid w:val="008204DC"/>
    <w:rsid w:val="008340EB"/>
    <w:rsid w:val="00841255"/>
    <w:rsid w:val="00841488"/>
    <w:rsid w:val="00843F67"/>
    <w:rsid w:val="00847F54"/>
    <w:rsid w:val="00852D04"/>
    <w:rsid w:val="00853EB6"/>
    <w:rsid w:val="00854776"/>
    <w:rsid w:val="00855449"/>
    <w:rsid w:val="00862168"/>
    <w:rsid w:val="00864A66"/>
    <w:rsid w:val="00867A57"/>
    <w:rsid w:val="00871446"/>
    <w:rsid w:val="00872E68"/>
    <w:rsid w:val="008743BA"/>
    <w:rsid w:val="008765A3"/>
    <w:rsid w:val="00880F63"/>
    <w:rsid w:val="00881303"/>
    <w:rsid w:val="00892F8A"/>
    <w:rsid w:val="00894567"/>
    <w:rsid w:val="008950F5"/>
    <w:rsid w:val="0089749B"/>
    <w:rsid w:val="008A0C2F"/>
    <w:rsid w:val="008A5CB3"/>
    <w:rsid w:val="008B1E97"/>
    <w:rsid w:val="008C06EB"/>
    <w:rsid w:val="008C28E7"/>
    <w:rsid w:val="008C5856"/>
    <w:rsid w:val="008D4EDE"/>
    <w:rsid w:val="008D5D5D"/>
    <w:rsid w:val="008D6882"/>
    <w:rsid w:val="008E1497"/>
    <w:rsid w:val="008E22EF"/>
    <w:rsid w:val="00905637"/>
    <w:rsid w:val="0091644F"/>
    <w:rsid w:val="00917CD6"/>
    <w:rsid w:val="00920D10"/>
    <w:rsid w:val="00926090"/>
    <w:rsid w:val="0093631F"/>
    <w:rsid w:val="00943F31"/>
    <w:rsid w:val="009522CB"/>
    <w:rsid w:val="009531D6"/>
    <w:rsid w:val="0095434C"/>
    <w:rsid w:val="00956262"/>
    <w:rsid w:val="00957D54"/>
    <w:rsid w:val="009636CB"/>
    <w:rsid w:val="00964116"/>
    <w:rsid w:val="0096516F"/>
    <w:rsid w:val="00970DAB"/>
    <w:rsid w:val="00970E08"/>
    <w:rsid w:val="00975829"/>
    <w:rsid w:val="00986794"/>
    <w:rsid w:val="00987D6A"/>
    <w:rsid w:val="009902BF"/>
    <w:rsid w:val="009A7379"/>
    <w:rsid w:val="009C3F7C"/>
    <w:rsid w:val="009C40CA"/>
    <w:rsid w:val="009C4990"/>
    <w:rsid w:val="009D0DDD"/>
    <w:rsid w:val="009D3405"/>
    <w:rsid w:val="009D4A0E"/>
    <w:rsid w:val="009D5A77"/>
    <w:rsid w:val="009D71D8"/>
    <w:rsid w:val="009E11D6"/>
    <w:rsid w:val="009E2EE2"/>
    <w:rsid w:val="009E31A5"/>
    <w:rsid w:val="009E328C"/>
    <w:rsid w:val="00A01FC8"/>
    <w:rsid w:val="00A064CF"/>
    <w:rsid w:val="00A1082A"/>
    <w:rsid w:val="00A11C23"/>
    <w:rsid w:val="00A301D0"/>
    <w:rsid w:val="00A30AC1"/>
    <w:rsid w:val="00A37B52"/>
    <w:rsid w:val="00A4587C"/>
    <w:rsid w:val="00A46660"/>
    <w:rsid w:val="00A5176F"/>
    <w:rsid w:val="00A55C54"/>
    <w:rsid w:val="00A570A1"/>
    <w:rsid w:val="00A57BA3"/>
    <w:rsid w:val="00A656A0"/>
    <w:rsid w:val="00A7167D"/>
    <w:rsid w:val="00A733BD"/>
    <w:rsid w:val="00A74956"/>
    <w:rsid w:val="00A753DA"/>
    <w:rsid w:val="00A80E4A"/>
    <w:rsid w:val="00A814AB"/>
    <w:rsid w:val="00A827DF"/>
    <w:rsid w:val="00A83968"/>
    <w:rsid w:val="00A864B1"/>
    <w:rsid w:val="00A87468"/>
    <w:rsid w:val="00A953EF"/>
    <w:rsid w:val="00AA0AE3"/>
    <w:rsid w:val="00AA743D"/>
    <w:rsid w:val="00AB1C15"/>
    <w:rsid w:val="00AB486F"/>
    <w:rsid w:val="00AB4E0C"/>
    <w:rsid w:val="00AC18E4"/>
    <w:rsid w:val="00AC3818"/>
    <w:rsid w:val="00AC4F7C"/>
    <w:rsid w:val="00AC5E10"/>
    <w:rsid w:val="00AD3A18"/>
    <w:rsid w:val="00AD5754"/>
    <w:rsid w:val="00AE449B"/>
    <w:rsid w:val="00AE66D0"/>
    <w:rsid w:val="00AF26B5"/>
    <w:rsid w:val="00AF399D"/>
    <w:rsid w:val="00AF7534"/>
    <w:rsid w:val="00B0698B"/>
    <w:rsid w:val="00B13A72"/>
    <w:rsid w:val="00B17131"/>
    <w:rsid w:val="00B30331"/>
    <w:rsid w:val="00B33B09"/>
    <w:rsid w:val="00B33FDE"/>
    <w:rsid w:val="00B3795E"/>
    <w:rsid w:val="00B37F7C"/>
    <w:rsid w:val="00B42466"/>
    <w:rsid w:val="00B4367A"/>
    <w:rsid w:val="00B51B3E"/>
    <w:rsid w:val="00B6051C"/>
    <w:rsid w:val="00B64EED"/>
    <w:rsid w:val="00B7056A"/>
    <w:rsid w:val="00B71A04"/>
    <w:rsid w:val="00B72C89"/>
    <w:rsid w:val="00B82DFA"/>
    <w:rsid w:val="00B83E98"/>
    <w:rsid w:val="00B86368"/>
    <w:rsid w:val="00B908CE"/>
    <w:rsid w:val="00B93278"/>
    <w:rsid w:val="00B93B79"/>
    <w:rsid w:val="00B96796"/>
    <w:rsid w:val="00BB2EDF"/>
    <w:rsid w:val="00BC0CBA"/>
    <w:rsid w:val="00BC4406"/>
    <w:rsid w:val="00BC4504"/>
    <w:rsid w:val="00BE12EB"/>
    <w:rsid w:val="00BE1948"/>
    <w:rsid w:val="00BE5537"/>
    <w:rsid w:val="00BF3241"/>
    <w:rsid w:val="00C036F9"/>
    <w:rsid w:val="00C03F19"/>
    <w:rsid w:val="00C108C7"/>
    <w:rsid w:val="00C10C56"/>
    <w:rsid w:val="00C14808"/>
    <w:rsid w:val="00C30529"/>
    <w:rsid w:val="00C31601"/>
    <w:rsid w:val="00C43B91"/>
    <w:rsid w:val="00C75684"/>
    <w:rsid w:val="00C76A3E"/>
    <w:rsid w:val="00C8599C"/>
    <w:rsid w:val="00C87949"/>
    <w:rsid w:val="00C90664"/>
    <w:rsid w:val="00CB18CE"/>
    <w:rsid w:val="00CB3950"/>
    <w:rsid w:val="00CB6A01"/>
    <w:rsid w:val="00CC02B5"/>
    <w:rsid w:val="00CC0D06"/>
    <w:rsid w:val="00CC1783"/>
    <w:rsid w:val="00CC1B9F"/>
    <w:rsid w:val="00CC231C"/>
    <w:rsid w:val="00CC3EDD"/>
    <w:rsid w:val="00CC5025"/>
    <w:rsid w:val="00CD13B0"/>
    <w:rsid w:val="00CD5178"/>
    <w:rsid w:val="00CD68E6"/>
    <w:rsid w:val="00CF0381"/>
    <w:rsid w:val="00CF06CE"/>
    <w:rsid w:val="00CF0E60"/>
    <w:rsid w:val="00CF6E6F"/>
    <w:rsid w:val="00CF7FED"/>
    <w:rsid w:val="00D06D68"/>
    <w:rsid w:val="00D10A8E"/>
    <w:rsid w:val="00D11490"/>
    <w:rsid w:val="00D11725"/>
    <w:rsid w:val="00D1214B"/>
    <w:rsid w:val="00D125CB"/>
    <w:rsid w:val="00D30D4C"/>
    <w:rsid w:val="00D3374F"/>
    <w:rsid w:val="00D41237"/>
    <w:rsid w:val="00D42163"/>
    <w:rsid w:val="00D44AFE"/>
    <w:rsid w:val="00D45450"/>
    <w:rsid w:val="00D45820"/>
    <w:rsid w:val="00D4731E"/>
    <w:rsid w:val="00D533CA"/>
    <w:rsid w:val="00D56784"/>
    <w:rsid w:val="00D6079A"/>
    <w:rsid w:val="00D617C4"/>
    <w:rsid w:val="00D655A1"/>
    <w:rsid w:val="00D7149C"/>
    <w:rsid w:val="00D757B7"/>
    <w:rsid w:val="00D7733F"/>
    <w:rsid w:val="00D80181"/>
    <w:rsid w:val="00D82365"/>
    <w:rsid w:val="00D843B0"/>
    <w:rsid w:val="00D85DEC"/>
    <w:rsid w:val="00DA0D6A"/>
    <w:rsid w:val="00DB07D6"/>
    <w:rsid w:val="00DB3193"/>
    <w:rsid w:val="00DB3EE0"/>
    <w:rsid w:val="00DB5645"/>
    <w:rsid w:val="00DC4CCE"/>
    <w:rsid w:val="00DD144B"/>
    <w:rsid w:val="00DD1AA0"/>
    <w:rsid w:val="00DD5B16"/>
    <w:rsid w:val="00DD5E0A"/>
    <w:rsid w:val="00DE22DA"/>
    <w:rsid w:val="00DE3620"/>
    <w:rsid w:val="00DF0C62"/>
    <w:rsid w:val="00DF1D78"/>
    <w:rsid w:val="00E10A3A"/>
    <w:rsid w:val="00E12D3D"/>
    <w:rsid w:val="00E14BA6"/>
    <w:rsid w:val="00E31FCD"/>
    <w:rsid w:val="00E32EC7"/>
    <w:rsid w:val="00E4285E"/>
    <w:rsid w:val="00E44082"/>
    <w:rsid w:val="00E479D9"/>
    <w:rsid w:val="00E50708"/>
    <w:rsid w:val="00E50A1F"/>
    <w:rsid w:val="00E5161A"/>
    <w:rsid w:val="00E5780D"/>
    <w:rsid w:val="00E57E4E"/>
    <w:rsid w:val="00E64695"/>
    <w:rsid w:val="00E754EC"/>
    <w:rsid w:val="00E813D4"/>
    <w:rsid w:val="00E86160"/>
    <w:rsid w:val="00E86D72"/>
    <w:rsid w:val="00E92F5E"/>
    <w:rsid w:val="00E95A1E"/>
    <w:rsid w:val="00E96679"/>
    <w:rsid w:val="00EA7A00"/>
    <w:rsid w:val="00EB16A7"/>
    <w:rsid w:val="00EC06F4"/>
    <w:rsid w:val="00EC71C9"/>
    <w:rsid w:val="00ED0AEE"/>
    <w:rsid w:val="00ED4689"/>
    <w:rsid w:val="00ED6E7F"/>
    <w:rsid w:val="00EE0E58"/>
    <w:rsid w:val="00EE612A"/>
    <w:rsid w:val="00EF15EE"/>
    <w:rsid w:val="00EF3A00"/>
    <w:rsid w:val="00EF4E06"/>
    <w:rsid w:val="00F001FD"/>
    <w:rsid w:val="00F218FD"/>
    <w:rsid w:val="00F22E59"/>
    <w:rsid w:val="00F240CA"/>
    <w:rsid w:val="00F331C8"/>
    <w:rsid w:val="00F360EE"/>
    <w:rsid w:val="00F411A7"/>
    <w:rsid w:val="00F5051C"/>
    <w:rsid w:val="00F5183E"/>
    <w:rsid w:val="00F747FA"/>
    <w:rsid w:val="00F762AC"/>
    <w:rsid w:val="00F84D0D"/>
    <w:rsid w:val="00F907B1"/>
    <w:rsid w:val="00F963EA"/>
    <w:rsid w:val="00F97BDC"/>
    <w:rsid w:val="00FA19AD"/>
    <w:rsid w:val="00FA7B2A"/>
    <w:rsid w:val="00FC2288"/>
    <w:rsid w:val="00FD541D"/>
    <w:rsid w:val="00FD57F4"/>
    <w:rsid w:val="00FE1CB6"/>
    <w:rsid w:val="00FE4400"/>
    <w:rsid w:val="00FE7D05"/>
    <w:rsid w:val="00FF5A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B1B6F"/>
  <w15:chartTrackingRefBased/>
  <w15:docId w15:val="{E5C75818-9414-FA4C-BF7D-9123FACC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A02"/>
  </w:style>
  <w:style w:type="paragraph" w:styleId="Ttulo1">
    <w:name w:val="heading 1"/>
    <w:basedOn w:val="Normal"/>
    <w:next w:val="Normal"/>
    <w:link w:val="Ttulo1Car"/>
    <w:qFormat/>
    <w:rsid w:val="00634E68"/>
    <w:pPr>
      <w:keepNext/>
      <w:outlineLvl w:val="0"/>
    </w:pPr>
    <w:rPr>
      <w:rFonts w:ascii="Arial" w:eastAsia="Times New Roman" w:hAnsi="Arial" w:cs="Arial"/>
      <w:bCs/>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34E68"/>
    <w:rPr>
      <w:rFonts w:ascii="Arial" w:eastAsia="Times New Roman" w:hAnsi="Arial" w:cs="Arial"/>
      <w:bCs/>
      <w:lang w:val="es-MX" w:eastAsia="es-ES"/>
    </w:rPr>
  </w:style>
  <w:style w:type="paragraph" w:styleId="NormalWeb">
    <w:name w:val="Normal (Web)"/>
    <w:aliases w:val="Normal (Web) Car Car"/>
    <w:basedOn w:val="Normal"/>
    <w:link w:val="NormalWebCar"/>
    <w:uiPriority w:val="99"/>
    <w:unhideWhenUsed/>
    <w:qFormat/>
    <w:rsid w:val="00D41237"/>
    <w:pPr>
      <w:spacing w:before="100" w:beforeAutospacing="1" w:after="100" w:afterAutospacing="1"/>
    </w:pPr>
    <w:rPr>
      <w:rFonts w:ascii="Times New Roman" w:eastAsia="Times New Roman" w:hAnsi="Times New Roman" w:cs="Times New Roman"/>
      <w:lang w:eastAsia="es-ES_tradnl"/>
    </w:rPr>
  </w:style>
  <w:style w:type="character" w:customStyle="1" w:styleId="NormalWebCar">
    <w:name w:val="Normal (Web) Car"/>
    <w:aliases w:val="Normal (Web) Car Car Car"/>
    <w:link w:val="NormalWeb"/>
    <w:uiPriority w:val="99"/>
    <w:rsid w:val="00634E68"/>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41237"/>
    <w:pPr>
      <w:tabs>
        <w:tab w:val="center" w:pos="4252"/>
        <w:tab w:val="right" w:pos="8504"/>
      </w:tabs>
    </w:pPr>
  </w:style>
  <w:style w:type="character" w:customStyle="1" w:styleId="EncabezadoCar">
    <w:name w:val="Encabezado Car"/>
    <w:basedOn w:val="Fuentedeprrafopredeter"/>
    <w:link w:val="Encabezado"/>
    <w:uiPriority w:val="99"/>
    <w:rsid w:val="00D41237"/>
  </w:style>
  <w:style w:type="paragraph" w:styleId="Piedepgina">
    <w:name w:val="footer"/>
    <w:basedOn w:val="Normal"/>
    <w:link w:val="PiedepginaCar"/>
    <w:uiPriority w:val="99"/>
    <w:unhideWhenUsed/>
    <w:rsid w:val="00D41237"/>
    <w:pPr>
      <w:tabs>
        <w:tab w:val="center" w:pos="4252"/>
        <w:tab w:val="right" w:pos="8504"/>
      </w:tabs>
    </w:pPr>
  </w:style>
  <w:style w:type="character" w:customStyle="1" w:styleId="PiedepginaCar">
    <w:name w:val="Pie de página Car"/>
    <w:basedOn w:val="Fuentedeprrafopredeter"/>
    <w:link w:val="Piedepgina"/>
    <w:uiPriority w:val="99"/>
    <w:rsid w:val="00D41237"/>
  </w:style>
  <w:style w:type="character" w:styleId="Hipervnculo">
    <w:name w:val="Hyperlink"/>
    <w:basedOn w:val="Fuentedeprrafopredeter"/>
    <w:uiPriority w:val="99"/>
    <w:rsid w:val="00D41237"/>
    <w:rPr>
      <w:color w:val="0000FF"/>
      <w:u w:val="single"/>
    </w:rPr>
  </w:style>
  <w:style w:type="paragraph" w:styleId="Prrafodelista">
    <w:name w:val="List Paragraph"/>
    <w:basedOn w:val="Normal"/>
    <w:uiPriority w:val="34"/>
    <w:qFormat/>
    <w:rsid w:val="002D6E0A"/>
    <w:pPr>
      <w:ind w:left="720"/>
      <w:contextualSpacing/>
    </w:pPr>
  </w:style>
  <w:style w:type="paragraph" w:styleId="Textonotapie">
    <w:name w:val="footnote text"/>
    <w:basedOn w:val="Normal"/>
    <w:link w:val="TextonotapieCar"/>
    <w:uiPriority w:val="99"/>
    <w:semiHidden/>
    <w:unhideWhenUsed/>
    <w:rsid w:val="002D6E0A"/>
    <w:rPr>
      <w:sz w:val="20"/>
      <w:szCs w:val="20"/>
    </w:rPr>
  </w:style>
  <w:style w:type="character" w:customStyle="1" w:styleId="TextonotapieCar">
    <w:name w:val="Texto nota pie Car"/>
    <w:basedOn w:val="Fuentedeprrafopredeter"/>
    <w:link w:val="Textonotapie"/>
    <w:uiPriority w:val="99"/>
    <w:semiHidden/>
    <w:rsid w:val="002D6E0A"/>
    <w:rPr>
      <w:sz w:val="20"/>
      <w:szCs w:val="20"/>
    </w:rPr>
  </w:style>
  <w:style w:type="character" w:styleId="Refdenotaalpie">
    <w:name w:val="footnote reference"/>
    <w:basedOn w:val="Fuentedeprrafopredeter"/>
    <w:uiPriority w:val="99"/>
    <w:semiHidden/>
    <w:unhideWhenUsed/>
    <w:rsid w:val="002D6E0A"/>
    <w:rPr>
      <w:vertAlign w:val="superscript"/>
    </w:rPr>
  </w:style>
  <w:style w:type="table" w:styleId="Tablaconcuadrcula">
    <w:name w:val="Table Grid"/>
    <w:basedOn w:val="Tablanormal"/>
    <w:uiPriority w:val="39"/>
    <w:rsid w:val="00BF3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2FC8"/>
    <w:rPr>
      <w:sz w:val="16"/>
      <w:szCs w:val="16"/>
    </w:rPr>
  </w:style>
  <w:style w:type="paragraph" w:styleId="Textocomentario">
    <w:name w:val="annotation text"/>
    <w:basedOn w:val="Normal"/>
    <w:link w:val="TextocomentarioCar"/>
    <w:uiPriority w:val="99"/>
    <w:unhideWhenUsed/>
    <w:rsid w:val="003D2FC8"/>
    <w:rPr>
      <w:sz w:val="20"/>
      <w:szCs w:val="20"/>
    </w:rPr>
  </w:style>
  <w:style w:type="character" w:customStyle="1" w:styleId="TextocomentarioCar">
    <w:name w:val="Texto comentario Car"/>
    <w:basedOn w:val="Fuentedeprrafopredeter"/>
    <w:link w:val="Textocomentario"/>
    <w:uiPriority w:val="99"/>
    <w:rsid w:val="003D2FC8"/>
    <w:rPr>
      <w:sz w:val="20"/>
      <w:szCs w:val="20"/>
    </w:rPr>
  </w:style>
  <w:style w:type="paragraph" w:styleId="Asuntodelcomentario">
    <w:name w:val="annotation subject"/>
    <w:basedOn w:val="Textocomentario"/>
    <w:next w:val="Textocomentario"/>
    <w:link w:val="AsuntodelcomentarioCar"/>
    <w:uiPriority w:val="99"/>
    <w:semiHidden/>
    <w:unhideWhenUsed/>
    <w:rsid w:val="003D2FC8"/>
    <w:rPr>
      <w:b/>
      <w:bCs/>
    </w:rPr>
  </w:style>
  <w:style w:type="character" w:customStyle="1" w:styleId="AsuntodelcomentarioCar">
    <w:name w:val="Asunto del comentario Car"/>
    <w:basedOn w:val="TextocomentarioCar"/>
    <w:link w:val="Asuntodelcomentario"/>
    <w:uiPriority w:val="99"/>
    <w:semiHidden/>
    <w:rsid w:val="003D2FC8"/>
    <w:rPr>
      <w:b/>
      <w:bCs/>
      <w:sz w:val="20"/>
      <w:szCs w:val="20"/>
    </w:rPr>
  </w:style>
  <w:style w:type="paragraph" w:styleId="Revisin">
    <w:name w:val="Revision"/>
    <w:hidden/>
    <w:uiPriority w:val="99"/>
    <w:semiHidden/>
    <w:rsid w:val="003D2FC8"/>
  </w:style>
  <w:style w:type="paragraph" w:styleId="Textodeglobo">
    <w:name w:val="Balloon Text"/>
    <w:basedOn w:val="Normal"/>
    <w:link w:val="TextodegloboCar"/>
    <w:uiPriority w:val="99"/>
    <w:semiHidden/>
    <w:unhideWhenUsed/>
    <w:rsid w:val="003D2F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2FC8"/>
    <w:rPr>
      <w:rFonts w:ascii="Segoe UI" w:hAnsi="Segoe UI" w:cs="Segoe UI"/>
      <w:sz w:val="18"/>
      <w:szCs w:val="18"/>
    </w:rPr>
  </w:style>
  <w:style w:type="table" w:styleId="Tablaconcuadrcula4-nfasis1">
    <w:name w:val="Grid Table 4 Accent 1"/>
    <w:basedOn w:val="Tablanormal"/>
    <w:uiPriority w:val="49"/>
    <w:rsid w:val="00BE194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5">
    <w:name w:val="Grid Table 5 Dark Accent 5"/>
    <w:basedOn w:val="Tablanormal"/>
    <w:uiPriority w:val="50"/>
    <w:rsid w:val="00ED0A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1">
    <w:name w:val="Grid Table 5 Dark Accent 1"/>
    <w:basedOn w:val="Tablanormal"/>
    <w:uiPriority w:val="50"/>
    <w:rsid w:val="00ED0A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rmaltextrun">
    <w:name w:val="normaltextrun"/>
    <w:basedOn w:val="Fuentedeprrafopredeter"/>
    <w:rsid w:val="00437C01"/>
  </w:style>
  <w:style w:type="character" w:customStyle="1" w:styleId="eop">
    <w:name w:val="eop"/>
    <w:basedOn w:val="Fuentedeprrafopredeter"/>
    <w:rsid w:val="00437C01"/>
  </w:style>
  <w:style w:type="paragraph" w:customStyle="1" w:styleId="paragraph">
    <w:name w:val="paragraph"/>
    <w:basedOn w:val="Normal"/>
    <w:rsid w:val="003839D4"/>
    <w:pPr>
      <w:spacing w:before="100" w:beforeAutospacing="1" w:after="100" w:afterAutospacing="1"/>
    </w:pPr>
    <w:rPr>
      <w:rFonts w:ascii="Times New Roman" w:eastAsia="Times New Roman" w:hAnsi="Times New Roman" w:cs="Times New Roman"/>
      <w:lang w:eastAsia="es-CO"/>
    </w:rPr>
  </w:style>
  <w:style w:type="table" w:styleId="Tablanormal2">
    <w:name w:val="Plain Table 2"/>
    <w:basedOn w:val="Tablanormal"/>
    <w:uiPriority w:val="42"/>
    <w:rsid w:val="00AA74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rsid w:val="00943F31"/>
    <w:rPr>
      <w:color w:val="954F72"/>
      <w:u w:val="single"/>
    </w:rPr>
  </w:style>
  <w:style w:type="paragraph" w:customStyle="1" w:styleId="msonormal0">
    <w:name w:val="msonormal"/>
    <w:basedOn w:val="Normal"/>
    <w:rsid w:val="00943F31"/>
    <w:pPr>
      <w:spacing w:before="100" w:beforeAutospacing="1" w:after="100" w:afterAutospacing="1"/>
    </w:pPr>
    <w:rPr>
      <w:rFonts w:ascii="Times New Roman" w:eastAsia="Times New Roman" w:hAnsi="Times New Roman" w:cs="Times New Roman"/>
      <w:lang w:eastAsia="es-CO"/>
    </w:rPr>
  </w:style>
  <w:style w:type="paragraph" w:customStyle="1" w:styleId="font5">
    <w:name w:val="font5"/>
    <w:basedOn w:val="Normal"/>
    <w:rsid w:val="00943F31"/>
    <w:pPr>
      <w:spacing w:before="100" w:beforeAutospacing="1" w:after="100" w:afterAutospacing="1"/>
    </w:pPr>
    <w:rPr>
      <w:rFonts w:ascii="Calibri Light" w:eastAsia="Times New Roman" w:hAnsi="Calibri Light" w:cs="Calibri Light"/>
      <w:sz w:val="18"/>
      <w:szCs w:val="18"/>
      <w:lang w:eastAsia="es-CO"/>
    </w:rPr>
  </w:style>
  <w:style w:type="paragraph" w:customStyle="1" w:styleId="font6">
    <w:name w:val="font6"/>
    <w:basedOn w:val="Normal"/>
    <w:rsid w:val="00943F31"/>
    <w:pPr>
      <w:spacing w:before="100" w:beforeAutospacing="1" w:after="100" w:afterAutospacing="1"/>
    </w:pPr>
    <w:rPr>
      <w:rFonts w:ascii="Calibri Light" w:eastAsia="Times New Roman" w:hAnsi="Calibri Light" w:cs="Calibri Light"/>
      <w:b/>
      <w:bCs/>
      <w:sz w:val="18"/>
      <w:szCs w:val="18"/>
      <w:lang w:eastAsia="es-CO"/>
    </w:rPr>
  </w:style>
  <w:style w:type="paragraph" w:customStyle="1" w:styleId="font7">
    <w:name w:val="font7"/>
    <w:basedOn w:val="Normal"/>
    <w:rsid w:val="00943F31"/>
    <w:pPr>
      <w:spacing w:before="100" w:beforeAutospacing="1" w:after="100" w:afterAutospacing="1"/>
    </w:pPr>
    <w:rPr>
      <w:rFonts w:ascii="Calibri Light" w:eastAsia="Times New Roman" w:hAnsi="Calibri Light" w:cs="Calibri Light"/>
      <w:sz w:val="20"/>
      <w:szCs w:val="20"/>
      <w:lang w:eastAsia="es-CO"/>
    </w:rPr>
  </w:style>
  <w:style w:type="paragraph" w:customStyle="1" w:styleId="font8">
    <w:name w:val="font8"/>
    <w:basedOn w:val="Normal"/>
    <w:rsid w:val="00943F31"/>
    <w:pPr>
      <w:spacing w:before="100" w:beforeAutospacing="1" w:after="100" w:afterAutospacing="1"/>
    </w:pPr>
    <w:rPr>
      <w:rFonts w:ascii="Calibri Light" w:eastAsia="Times New Roman" w:hAnsi="Calibri Light" w:cs="Calibri Light"/>
      <w:b/>
      <w:bCs/>
      <w:sz w:val="20"/>
      <w:szCs w:val="20"/>
      <w:lang w:eastAsia="es-CO"/>
    </w:rPr>
  </w:style>
  <w:style w:type="paragraph" w:customStyle="1" w:styleId="xl73">
    <w:name w:val="xl73"/>
    <w:basedOn w:val="Normal"/>
    <w:rsid w:val="00943F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18"/>
      <w:szCs w:val="18"/>
      <w:lang w:eastAsia="es-CO"/>
    </w:rPr>
  </w:style>
  <w:style w:type="paragraph" w:customStyle="1" w:styleId="xl74">
    <w:name w:val="xl74"/>
    <w:basedOn w:val="Normal"/>
    <w:rsid w:val="00943F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18"/>
      <w:szCs w:val="18"/>
      <w:lang w:eastAsia="es-CO"/>
    </w:rPr>
  </w:style>
  <w:style w:type="paragraph" w:customStyle="1" w:styleId="xl75">
    <w:name w:val="xl75"/>
    <w:basedOn w:val="Normal"/>
    <w:rsid w:val="00943F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18"/>
      <w:szCs w:val="18"/>
      <w:lang w:eastAsia="es-CO"/>
    </w:rPr>
  </w:style>
  <w:style w:type="paragraph" w:customStyle="1" w:styleId="xl76">
    <w:name w:val="xl76"/>
    <w:basedOn w:val="Normal"/>
    <w:rsid w:val="00943F31"/>
    <w:pPr>
      <w:spacing w:before="100" w:beforeAutospacing="1" w:after="100" w:afterAutospacing="1"/>
    </w:pPr>
    <w:rPr>
      <w:rFonts w:ascii="Calibri Light" w:eastAsia="Times New Roman" w:hAnsi="Calibri Light" w:cs="Calibri Light"/>
      <w:sz w:val="18"/>
      <w:szCs w:val="18"/>
      <w:lang w:eastAsia="es-CO"/>
    </w:rPr>
  </w:style>
  <w:style w:type="paragraph" w:customStyle="1" w:styleId="xl77">
    <w:name w:val="xl77"/>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78">
    <w:name w:val="xl78"/>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79">
    <w:name w:val="xl79"/>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80">
    <w:name w:val="xl80"/>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81">
    <w:name w:val="xl81"/>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color w:val="000000"/>
      <w:lang w:eastAsia="es-CO"/>
    </w:rPr>
  </w:style>
  <w:style w:type="paragraph" w:customStyle="1" w:styleId="xl82">
    <w:name w:val="xl82"/>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b/>
      <w:bCs/>
      <w:lang w:eastAsia="es-CO"/>
    </w:rPr>
  </w:style>
  <w:style w:type="paragraph" w:customStyle="1" w:styleId="xl83">
    <w:name w:val="xl83"/>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color w:val="000000"/>
      <w:lang w:eastAsia="es-CO"/>
    </w:rPr>
  </w:style>
  <w:style w:type="paragraph" w:customStyle="1" w:styleId="xl84">
    <w:name w:val="xl84"/>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Light" w:eastAsia="Times New Roman" w:hAnsi="Calibri Light" w:cs="Calibri Light"/>
      <w:lang w:eastAsia="es-CO"/>
    </w:rPr>
  </w:style>
  <w:style w:type="paragraph" w:customStyle="1" w:styleId="xl85">
    <w:name w:val="xl85"/>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86">
    <w:name w:val="xl86"/>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87">
    <w:name w:val="xl87"/>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88">
    <w:name w:val="xl88"/>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89">
    <w:name w:val="xl89"/>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0">
    <w:name w:val="xl90"/>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1">
    <w:name w:val="xl91"/>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92">
    <w:name w:val="xl92"/>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3">
    <w:name w:val="xl93"/>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4">
    <w:name w:val="xl94"/>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5">
    <w:name w:val="xl95"/>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6">
    <w:name w:val="xl96"/>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97">
    <w:name w:val="xl97"/>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98">
    <w:name w:val="xl98"/>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Light" w:eastAsia="Times New Roman" w:hAnsi="Calibri Light" w:cs="Calibri Light"/>
      <w:lang w:eastAsia="es-CO"/>
    </w:rPr>
  </w:style>
  <w:style w:type="paragraph" w:customStyle="1" w:styleId="xl99">
    <w:name w:val="xl99"/>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b/>
      <w:bCs/>
      <w:lang w:eastAsia="es-CO"/>
    </w:rPr>
  </w:style>
  <w:style w:type="paragraph" w:customStyle="1" w:styleId="xl100">
    <w:name w:val="xl100"/>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101">
    <w:name w:val="xl101"/>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Light" w:eastAsia="Times New Roman" w:hAnsi="Calibri Light" w:cs="Calibri Light"/>
      <w:lang w:eastAsia="es-CO"/>
    </w:rPr>
  </w:style>
  <w:style w:type="paragraph" w:customStyle="1" w:styleId="xl102">
    <w:name w:val="xl102"/>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103">
    <w:name w:val="xl103"/>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b/>
      <w:bCs/>
      <w:lang w:eastAsia="es-CO"/>
    </w:rPr>
  </w:style>
  <w:style w:type="paragraph" w:customStyle="1" w:styleId="xl104">
    <w:name w:val="xl104"/>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b/>
      <w:bCs/>
      <w:lang w:eastAsia="es-CO"/>
    </w:rPr>
  </w:style>
  <w:style w:type="paragraph" w:customStyle="1" w:styleId="xl105">
    <w:name w:val="xl105"/>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Calibri Light" w:eastAsia="Times New Roman" w:hAnsi="Calibri Light" w:cs="Calibri Light"/>
      <w:lang w:eastAsia="es-CO"/>
    </w:rPr>
  </w:style>
  <w:style w:type="paragraph" w:customStyle="1" w:styleId="xl106">
    <w:name w:val="xl106"/>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lang w:eastAsia="es-CO"/>
    </w:rPr>
  </w:style>
  <w:style w:type="paragraph" w:customStyle="1" w:styleId="xl107">
    <w:name w:val="xl107"/>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lang w:eastAsia="es-CO"/>
    </w:rPr>
  </w:style>
  <w:style w:type="paragraph" w:customStyle="1" w:styleId="xl108">
    <w:name w:val="xl108"/>
    <w:basedOn w:val="Normal"/>
    <w:rsid w:val="00943F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Calibri"/>
      <w:lang w:eastAsia="es-CO"/>
    </w:rPr>
  </w:style>
  <w:style w:type="paragraph" w:customStyle="1" w:styleId="xl67">
    <w:name w:val="xl67"/>
    <w:basedOn w:val="Normal"/>
    <w:rsid w:val="00853E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b/>
      <w:bCs/>
      <w:sz w:val="18"/>
      <w:szCs w:val="18"/>
      <w:lang w:eastAsia="es-CO"/>
    </w:rPr>
  </w:style>
  <w:style w:type="paragraph" w:customStyle="1" w:styleId="xl68">
    <w:name w:val="xl68"/>
    <w:basedOn w:val="Normal"/>
    <w:rsid w:val="00853E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b/>
      <w:bCs/>
      <w:sz w:val="18"/>
      <w:szCs w:val="18"/>
      <w:lang w:eastAsia="es-CO"/>
    </w:rPr>
  </w:style>
  <w:style w:type="paragraph" w:customStyle="1" w:styleId="xl69">
    <w:name w:val="xl69"/>
    <w:basedOn w:val="Normal"/>
    <w:rsid w:val="00853E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8"/>
      <w:szCs w:val="18"/>
      <w:lang w:eastAsia="es-CO"/>
    </w:rPr>
  </w:style>
  <w:style w:type="paragraph" w:customStyle="1" w:styleId="xl70">
    <w:name w:val="xl70"/>
    <w:basedOn w:val="Normal"/>
    <w:rsid w:val="00853E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8"/>
      <w:szCs w:val="18"/>
      <w:lang w:eastAsia="es-CO"/>
    </w:rPr>
  </w:style>
  <w:style w:type="paragraph" w:customStyle="1" w:styleId="xl71">
    <w:name w:val="xl71"/>
    <w:basedOn w:val="Normal"/>
    <w:rsid w:val="00853E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eastAsia="Times New Roman" w:hAnsi="Arial" w:cs="Arial"/>
      <w:sz w:val="18"/>
      <w:szCs w:val="18"/>
      <w:lang w:eastAsia="es-CO"/>
    </w:rPr>
  </w:style>
  <w:style w:type="paragraph" w:customStyle="1" w:styleId="xl72">
    <w:name w:val="xl72"/>
    <w:basedOn w:val="Normal"/>
    <w:rsid w:val="00853E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eastAsia="Times New Roman" w:hAnsi="Arial" w:cs="Arial"/>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6878">
      <w:bodyDiv w:val="1"/>
      <w:marLeft w:val="0"/>
      <w:marRight w:val="0"/>
      <w:marTop w:val="0"/>
      <w:marBottom w:val="0"/>
      <w:divBdr>
        <w:top w:val="none" w:sz="0" w:space="0" w:color="auto"/>
        <w:left w:val="none" w:sz="0" w:space="0" w:color="auto"/>
        <w:bottom w:val="none" w:sz="0" w:space="0" w:color="auto"/>
        <w:right w:val="none" w:sz="0" w:space="0" w:color="auto"/>
      </w:divBdr>
      <w:divsChild>
        <w:div w:id="92896121">
          <w:marLeft w:val="0"/>
          <w:marRight w:val="0"/>
          <w:marTop w:val="0"/>
          <w:marBottom w:val="0"/>
          <w:divBdr>
            <w:top w:val="none" w:sz="0" w:space="0" w:color="auto"/>
            <w:left w:val="none" w:sz="0" w:space="0" w:color="auto"/>
            <w:bottom w:val="none" w:sz="0" w:space="0" w:color="auto"/>
            <w:right w:val="none" w:sz="0" w:space="0" w:color="auto"/>
          </w:divBdr>
          <w:divsChild>
            <w:div w:id="2106266402">
              <w:marLeft w:val="0"/>
              <w:marRight w:val="0"/>
              <w:marTop w:val="0"/>
              <w:marBottom w:val="0"/>
              <w:divBdr>
                <w:top w:val="none" w:sz="0" w:space="0" w:color="auto"/>
                <w:left w:val="none" w:sz="0" w:space="0" w:color="auto"/>
                <w:bottom w:val="none" w:sz="0" w:space="0" w:color="auto"/>
                <w:right w:val="none" w:sz="0" w:space="0" w:color="auto"/>
              </w:divBdr>
              <w:divsChild>
                <w:div w:id="1830511106">
                  <w:marLeft w:val="0"/>
                  <w:marRight w:val="0"/>
                  <w:marTop w:val="0"/>
                  <w:marBottom w:val="0"/>
                  <w:divBdr>
                    <w:top w:val="none" w:sz="0" w:space="0" w:color="auto"/>
                    <w:left w:val="none" w:sz="0" w:space="0" w:color="auto"/>
                    <w:bottom w:val="none" w:sz="0" w:space="0" w:color="auto"/>
                    <w:right w:val="none" w:sz="0" w:space="0" w:color="auto"/>
                  </w:divBdr>
                  <w:divsChild>
                    <w:div w:id="15998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335">
      <w:bodyDiv w:val="1"/>
      <w:marLeft w:val="0"/>
      <w:marRight w:val="0"/>
      <w:marTop w:val="0"/>
      <w:marBottom w:val="0"/>
      <w:divBdr>
        <w:top w:val="none" w:sz="0" w:space="0" w:color="auto"/>
        <w:left w:val="none" w:sz="0" w:space="0" w:color="auto"/>
        <w:bottom w:val="none" w:sz="0" w:space="0" w:color="auto"/>
        <w:right w:val="none" w:sz="0" w:space="0" w:color="auto"/>
      </w:divBdr>
      <w:divsChild>
        <w:div w:id="1514802844">
          <w:marLeft w:val="0"/>
          <w:marRight w:val="0"/>
          <w:marTop w:val="0"/>
          <w:marBottom w:val="0"/>
          <w:divBdr>
            <w:top w:val="none" w:sz="0" w:space="0" w:color="auto"/>
            <w:left w:val="none" w:sz="0" w:space="0" w:color="auto"/>
            <w:bottom w:val="none" w:sz="0" w:space="0" w:color="auto"/>
            <w:right w:val="none" w:sz="0" w:space="0" w:color="auto"/>
          </w:divBdr>
          <w:divsChild>
            <w:div w:id="70281149">
              <w:marLeft w:val="0"/>
              <w:marRight w:val="0"/>
              <w:marTop w:val="0"/>
              <w:marBottom w:val="0"/>
              <w:divBdr>
                <w:top w:val="none" w:sz="0" w:space="0" w:color="auto"/>
                <w:left w:val="none" w:sz="0" w:space="0" w:color="auto"/>
                <w:bottom w:val="none" w:sz="0" w:space="0" w:color="auto"/>
                <w:right w:val="none" w:sz="0" w:space="0" w:color="auto"/>
              </w:divBdr>
              <w:divsChild>
                <w:div w:id="594752109">
                  <w:marLeft w:val="0"/>
                  <w:marRight w:val="0"/>
                  <w:marTop w:val="0"/>
                  <w:marBottom w:val="0"/>
                  <w:divBdr>
                    <w:top w:val="none" w:sz="0" w:space="0" w:color="auto"/>
                    <w:left w:val="none" w:sz="0" w:space="0" w:color="auto"/>
                    <w:bottom w:val="none" w:sz="0" w:space="0" w:color="auto"/>
                    <w:right w:val="none" w:sz="0" w:space="0" w:color="auto"/>
                  </w:divBdr>
                </w:div>
              </w:divsChild>
            </w:div>
            <w:div w:id="491146956">
              <w:marLeft w:val="0"/>
              <w:marRight w:val="0"/>
              <w:marTop w:val="0"/>
              <w:marBottom w:val="0"/>
              <w:divBdr>
                <w:top w:val="none" w:sz="0" w:space="0" w:color="auto"/>
                <w:left w:val="none" w:sz="0" w:space="0" w:color="auto"/>
                <w:bottom w:val="none" w:sz="0" w:space="0" w:color="auto"/>
                <w:right w:val="none" w:sz="0" w:space="0" w:color="auto"/>
              </w:divBdr>
              <w:divsChild>
                <w:div w:id="1613784342">
                  <w:marLeft w:val="0"/>
                  <w:marRight w:val="0"/>
                  <w:marTop w:val="0"/>
                  <w:marBottom w:val="0"/>
                  <w:divBdr>
                    <w:top w:val="none" w:sz="0" w:space="0" w:color="auto"/>
                    <w:left w:val="none" w:sz="0" w:space="0" w:color="auto"/>
                    <w:bottom w:val="none" w:sz="0" w:space="0" w:color="auto"/>
                    <w:right w:val="none" w:sz="0" w:space="0" w:color="auto"/>
                  </w:divBdr>
                </w:div>
              </w:divsChild>
            </w:div>
            <w:div w:id="1617132438">
              <w:marLeft w:val="0"/>
              <w:marRight w:val="0"/>
              <w:marTop w:val="0"/>
              <w:marBottom w:val="0"/>
              <w:divBdr>
                <w:top w:val="none" w:sz="0" w:space="0" w:color="auto"/>
                <w:left w:val="none" w:sz="0" w:space="0" w:color="auto"/>
                <w:bottom w:val="none" w:sz="0" w:space="0" w:color="auto"/>
                <w:right w:val="none" w:sz="0" w:space="0" w:color="auto"/>
              </w:divBdr>
              <w:divsChild>
                <w:div w:id="20983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8768">
      <w:bodyDiv w:val="1"/>
      <w:marLeft w:val="0"/>
      <w:marRight w:val="0"/>
      <w:marTop w:val="0"/>
      <w:marBottom w:val="0"/>
      <w:divBdr>
        <w:top w:val="none" w:sz="0" w:space="0" w:color="auto"/>
        <w:left w:val="none" w:sz="0" w:space="0" w:color="auto"/>
        <w:bottom w:val="none" w:sz="0" w:space="0" w:color="auto"/>
        <w:right w:val="none" w:sz="0" w:space="0" w:color="auto"/>
      </w:divBdr>
      <w:divsChild>
        <w:div w:id="421529550">
          <w:marLeft w:val="0"/>
          <w:marRight w:val="0"/>
          <w:marTop w:val="0"/>
          <w:marBottom w:val="0"/>
          <w:divBdr>
            <w:top w:val="none" w:sz="0" w:space="0" w:color="auto"/>
            <w:left w:val="none" w:sz="0" w:space="0" w:color="auto"/>
            <w:bottom w:val="none" w:sz="0" w:space="0" w:color="auto"/>
            <w:right w:val="none" w:sz="0" w:space="0" w:color="auto"/>
          </w:divBdr>
          <w:divsChild>
            <w:div w:id="1951890031">
              <w:marLeft w:val="0"/>
              <w:marRight w:val="0"/>
              <w:marTop w:val="0"/>
              <w:marBottom w:val="0"/>
              <w:divBdr>
                <w:top w:val="none" w:sz="0" w:space="0" w:color="auto"/>
                <w:left w:val="none" w:sz="0" w:space="0" w:color="auto"/>
                <w:bottom w:val="none" w:sz="0" w:space="0" w:color="auto"/>
                <w:right w:val="none" w:sz="0" w:space="0" w:color="auto"/>
              </w:divBdr>
              <w:divsChild>
                <w:div w:id="19107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1040">
      <w:bodyDiv w:val="1"/>
      <w:marLeft w:val="0"/>
      <w:marRight w:val="0"/>
      <w:marTop w:val="0"/>
      <w:marBottom w:val="0"/>
      <w:divBdr>
        <w:top w:val="none" w:sz="0" w:space="0" w:color="auto"/>
        <w:left w:val="none" w:sz="0" w:space="0" w:color="auto"/>
        <w:bottom w:val="none" w:sz="0" w:space="0" w:color="auto"/>
        <w:right w:val="none" w:sz="0" w:space="0" w:color="auto"/>
      </w:divBdr>
    </w:div>
    <w:div w:id="132794310">
      <w:bodyDiv w:val="1"/>
      <w:marLeft w:val="0"/>
      <w:marRight w:val="0"/>
      <w:marTop w:val="0"/>
      <w:marBottom w:val="0"/>
      <w:divBdr>
        <w:top w:val="none" w:sz="0" w:space="0" w:color="auto"/>
        <w:left w:val="none" w:sz="0" w:space="0" w:color="auto"/>
        <w:bottom w:val="none" w:sz="0" w:space="0" w:color="auto"/>
        <w:right w:val="none" w:sz="0" w:space="0" w:color="auto"/>
      </w:divBdr>
      <w:divsChild>
        <w:div w:id="944078340">
          <w:marLeft w:val="0"/>
          <w:marRight w:val="0"/>
          <w:marTop w:val="0"/>
          <w:marBottom w:val="0"/>
          <w:divBdr>
            <w:top w:val="none" w:sz="0" w:space="0" w:color="auto"/>
            <w:left w:val="none" w:sz="0" w:space="0" w:color="auto"/>
            <w:bottom w:val="none" w:sz="0" w:space="0" w:color="auto"/>
            <w:right w:val="none" w:sz="0" w:space="0" w:color="auto"/>
          </w:divBdr>
          <w:divsChild>
            <w:div w:id="2126348055">
              <w:marLeft w:val="0"/>
              <w:marRight w:val="0"/>
              <w:marTop w:val="0"/>
              <w:marBottom w:val="0"/>
              <w:divBdr>
                <w:top w:val="none" w:sz="0" w:space="0" w:color="auto"/>
                <w:left w:val="none" w:sz="0" w:space="0" w:color="auto"/>
                <w:bottom w:val="none" w:sz="0" w:space="0" w:color="auto"/>
                <w:right w:val="none" w:sz="0" w:space="0" w:color="auto"/>
              </w:divBdr>
              <w:divsChild>
                <w:div w:id="16249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3146">
      <w:bodyDiv w:val="1"/>
      <w:marLeft w:val="0"/>
      <w:marRight w:val="0"/>
      <w:marTop w:val="0"/>
      <w:marBottom w:val="0"/>
      <w:divBdr>
        <w:top w:val="none" w:sz="0" w:space="0" w:color="auto"/>
        <w:left w:val="none" w:sz="0" w:space="0" w:color="auto"/>
        <w:bottom w:val="none" w:sz="0" w:space="0" w:color="auto"/>
        <w:right w:val="none" w:sz="0" w:space="0" w:color="auto"/>
      </w:divBdr>
      <w:divsChild>
        <w:div w:id="1978602154">
          <w:marLeft w:val="0"/>
          <w:marRight w:val="0"/>
          <w:marTop w:val="0"/>
          <w:marBottom w:val="0"/>
          <w:divBdr>
            <w:top w:val="none" w:sz="0" w:space="0" w:color="auto"/>
            <w:left w:val="none" w:sz="0" w:space="0" w:color="auto"/>
            <w:bottom w:val="none" w:sz="0" w:space="0" w:color="auto"/>
            <w:right w:val="none" w:sz="0" w:space="0" w:color="auto"/>
          </w:divBdr>
          <w:divsChild>
            <w:div w:id="747313219">
              <w:marLeft w:val="0"/>
              <w:marRight w:val="0"/>
              <w:marTop w:val="0"/>
              <w:marBottom w:val="0"/>
              <w:divBdr>
                <w:top w:val="none" w:sz="0" w:space="0" w:color="auto"/>
                <w:left w:val="none" w:sz="0" w:space="0" w:color="auto"/>
                <w:bottom w:val="none" w:sz="0" w:space="0" w:color="auto"/>
                <w:right w:val="none" w:sz="0" w:space="0" w:color="auto"/>
              </w:divBdr>
              <w:divsChild>
                <w:div w:id="1305158953">
                  <w:marLeft w:val="0"/>
                  <w:marRight w:val="0"/>
                  <w:marTop w:val="0"/>
                  <w:marBottom w:val="0"/>
                  <w:divBdr>
                    <w:top w:val="none" w:sz="0" w:space="0" w:color="auto"/>
                    <w:left w:val="none" w:sz="0" w:space="0" w:color="auto"/>
                    <w:bottom w:val="none" w:sz="0" w:space="0" w:color="auto"/>
                    <w:right w:val="none" w:sz="0" w:space="0" w:color="auto"/>
                  </w:divBdr>
                </w:div>
              </w:divsChild>
            </w:div>
            <w:div w:id="488596615">
              <w:marLeft w:val="0"/>
              <w:marRight w:val="0"/>
              <w:marTop w:val="0"/>
              <w:marBottom w:val="0"/>
              <w:divBdr>
                <w:top w:val="none" w:sz="0" w:space="0" w:color="auto"/>
                <w:left w:val="none" w:sz="0" w:space="0" w:color="auto"/>
                <w:bottom w:val="none" w:sz="0" w:space="0" w:color="auto"/>
                <w:right w:val="none" w:sz="0" w:space="0" w:color="auto"/>
              </w:divBdr>
              <w:divsChild>
                <w:div w:id="1517116737">
                  <w:marLeft w:val="0"/>
                  <w:marRight w:val="0"/>
                  <w:marTop w:val="0"/>
                  <w:marBottom w:val="0"/>
                  <w:divBdr>
                    <w:top w:val="none" w:sz="0" w:space="0" w:color="auto"/>
                    <w:left w:val="none" w:sz="0" w:space="0" w:color="auto"/>
                    <w:bottom w:val="none" w:sz="0" w:space="0" w:color="auto"/>
                    <w:right w:val="none" w:sz="0" w:space="0" w:color="auto"/>
                  </w:divBdr>
                </w:div>
              </w:divsChild>
            </w:div>
            <w:div w:id="847520750">
              <w:marLeft w:val="0"/>
              <w:marRight w:val="0"/>
              <w:marTop w:val="0"/>
              <w:marBottom w:val="0"/>
              <w:divBdr>
                <w:top w:val="none" w:sz="0" w:space="0" w:color="auto"/>
                <w:left w:val="none" w:sz="0" w:space="0" w:color="auto"/>
                <w:bottom w:val="none" w:sz="0" w:space="0" w:color="auto"/>
                <w:right w:val="none" w:sz="0" w:space="0" w:color="auto"/>
              </w:divBdr>
              <w:divsChild>
                <w:div w:id="928850651">
                  <w:marLeft w:val="0"/>
                  <w:marRight w:val="0"/>
                  <w:marTop w:val="0"/>
                  <w:marBottom w:val="0"/>
                  <w:divBdr>
                    <w:top w:val="none" w:sz="0" w:space="0" w:color="auto"/>
                    <w:left w:val="none" w:sz="0" w:space="0" w:color="auto"/>
                    <w:bottom w:val="none" w:sz="0" w:space="0" w:color="auto"/>
                    <w:right w:val="none" w:sz="0" w:space="0" w:color="auto"/>
                  </w:divBdr>
                </w:div>
              </w:divsChild>
            </w:div>
            <w:div w:id="657197924">
              <w:marLeft w:val="0"/>
              <w:marRight w:val="0"/>
              <w:marTop w:val="0"/>
              <w:marBottom w:val="0"/>
              <w:divBdr>
                <w:top w:val="none" w:sz="0" w:space="0" w:color="auto"/>
                <w:left w:val="none" w:sz="0" w:space="0" w:color="auto"/>
                <w:bottom w:val="none" w:sz="0" w:space="0" w:color="auto"/>
                <w:right w:val="none" w:sz="0" w:space="0" w:color="auto"/>
              </w:divBdr>
              <w:divsChild>
                <w:div w:id="87120663">
                  <w:marLeft w:val="0"/>
                  <w:marRight w:val="0"/>
                  <w:marTop w:val="0"/>
                  <w:marBottom w:val="0"/>
                  <w:divBdr>
                    <w:top w:val="none" w:sz="0" w:space="0" w:color="auto"/>
                    <w:left w:val="none" w:sz="0" w:space="0" w:color="auto"/>
                    <w:bottom w:val="none" w:sz="0" w:space="0" w:color="auto"/>
                    <w:right w:val="none" w:sz="0" w:space="0" w:color="auto"/>
                  </w:divBdr>
                </w:div>
              </w:divsChild>
            </w:div>
            <w:div w:id="972559892">
              <w:marLeft w:val="0"/>
              <w:marRight w:val="0"/>
              <w:marTop w:val="0"/>
              <w:marBottom w:val="0"/>
              <w:divBdr>
                <w:top w:val="none" w:sz="0" w:space="0" w:color="auto"/>
                <w:left w:val="none" w:sz="0" w:space="0" w:color="auto"/>
                <w:bottom w:val="none" w:sz="0" w:space="0" w:color="auto"/>
                <w:right w:val="none" w:sz="0" w:space="0" w:color="auto"/>
              </w:divBdr>
              <w:divsChild>
                <w:div w:id="2107269795">
                  <w:marLeft w:val="0"/>
                  <w:marRight w:val="0"/>
                  <w:marTop w:val="0"/>
                  <w:marBottom w:val="0"/>
                  <w:divBdr>
                    <w:top w:val="none" w:sz="0" w:space="0" w:color="auto"/>
                    <w:left w:val="none" w:sz="0" w:space="0" w:color="auto"/>
                    <w:bottom w:val="none" w:sz="0" w:space="0" w:color="auto"/>
                    <w:right w:val="none" w:sz="0" w:space="0" w:color="auto"/>
                  </w:divBdr>
                </w:div>
              </w:divsChild>
            </w:div>
            <w:div w:id="592512686">
              <w:marLeft w:val="0"/>
              <w:marRight w:val="0"/>
              <w:marTop w:val="0"/>
              <w:marBottom w:val="0"/>
              <w:divBdr>
                <w:top w:val="none" w:sz="0" w:space="0" w:color="auto"/>
                <w:left w:val="none" w:sz="0" w:space="0" w:color="auto"/>
                <w:bottom w:val="none" w:sz="0" w:space="0" w:color="auto"/>
                <w:right w:val="none" w:sz="0" w:space="0" w:color="auto"/>
              </w:divBdr>
              <w:divsChild>
                <w:div w:id="418600190">
                  <w:marLeft w:val="0"/>
                  <w:marRight w:val="0"/>
                  <w:marTop w:val="0"/>
                  <w:marBottom w:val="0"/>
                  <w:divBdr>
                    <w:top w:val="none" w:sz="0" w:space="0" w:color="auto"/>
                    <w:left w:val="none" w:sz="0" w:space="0" w:color="auto"/>
                    <w:bottom w:val="none" w:sz="0" w:space="0" w:color="auto"/>
                    <w:right w:val="none" w:sz="0" w:space="0" w:color="auto"/>
                  </w:divBdr>
                </w:div>
              </w:divsChild>
            </w:div>
            <w:div w:id="1605916664">
              <w:marLeft w:val="0"/>
              <w:marRight w:val="0"/>
              <w:marTop w:val="0"/>
              <w:marBottom w:val="0"/>
              <w:divBdr>
                <w:top w:val="none" w:sz="0" w:space="0" w:color="auto"/>
                <w:left w:val="none" w:sz="0" w:space="0" w:color="auto"/>
                <w:bottom w:val="none" w:sz="0" w:space="0" w:color="auto"/>
                <w:right w:val="none" w:sz="0" w:space="0" w:color="auto"/>
              </w:divBdr>
              <w:divsChild>
                <w:div w:id="1579054217">
                  <w:marLeft w:val="0"/>
                  <w:marRight w:val="0"/>
                  <w:marTop w:val="0"/>
                  <w:marBottom w:val="0"/>
                  <w:divBdr>
                    <w:top w:val="none" w:sz="0" w:space="0" w:color="auto"/>
                    <w:left w:val="none" w:sz="0" w:space="0" w:color="auto"/>
                    <w:bottom w:val="none" w:sz="0" w:space="0" w:color="auto"/>
                    <w:right w:val="none" w:sz="0" w:space="0" w:color="auto"/>
                  </w:divBdr>
                </w:div>
              </w:divsChild>
            </w:div>
            <w:div w:id="1933120461">
              <w:marLeft w:val="0"/>
              <w:marRight w:val="0"/>
              <w:marTop w:val="0"/>
              <w:marBottom w:val="0"/>
              <w:divBdr>
                <w:top w:val="none" w:sz="0" w:space="0" w:color="auto"/>
                <w:left w:val="none" w:sz="0" w:space="0" w:color="auto"/>
                <w:bottom w:val="none" w:sz="0" w:space="0" w:color="auto"/>
                <w:right w:val="none" w:sz="0" w:space="0" w:color="auto"/>
              </w:divBdr>
              <w:divsChild>
                <w:div w:id="1389524631">
                  <w:marLeft w:val="0"/>
                  <w:marRight w:val="0"/>
                  <w:marTop w:val="0"/>
                  <w:marBottom w:val="0"/>
                  <w:divBdr>
                    <w:top w:val="none" w:sz="0" w:space="0" w:color="auto"/>
                    <w:left w:val="none" w:sz="0" w:space="0" w:color="auto"/>
                    <w:bottom w:val="none" w:sz="0" w:space="0" w:color="auto"/>
                    <w:right w:val="none" w:sz="0" w:space="0" w:color="auto"/>
                  </w:divBdr>
                </w:div>
                <w:div w:id="713039867">
                  <w:marLeft w:val="0"/>
                  <w:marRight w:val="0"/>
                  <w:marTop w:val="0"/>
                  <w:marBottom w:val="0"/>
                  <w:divBdr>
                    <w:top w:val="none" w:sz="0" w:space="0" w:color="auto"/>
                    <w:left w:val="none" w:sz="0" w:space="0" w:color="auto"/>
                    <w:bottom w:val="none" w:sz="0" w:space="0" w:color="auto"/>
                    <w:right w:val="none" w:sz="0" w:space="0" w:color="auto"/>
                  </w:divBdr>
                </w:div>
              </w:divsChild>
            </w:div>
            <w:div w:id="1024987846">
              <w:marLeft w:val="0"/>
              <w:marRight w:val="0"/>
              <w:marTop w:val="0"/>
              <w:marBottom w:val="0"/>
              <w:divBdr>
                <w:top w:val="none" w:sz="0" w:space="0" w:color="auto"/>
                <w:left w:val="none" w:sz="0" w:space="0" w:color="auto"/>
                <w:bottom w:val="none" w:sz="0" w:space="0" w:color="auto"/>
                <w:right w:val="none" w:sz="0" w:space="0" w:color="auto"/>
              </w:divBdr>
              <w:divsChild>
                <w:div w:id="658581108">
                  <w:marLeft w:val="0"/>
                  <w:marRight w:val="0"/>
                  <w:marTop w:val="0"/>
                  <w:marBottom w:val="0"/>
                  <w:divBdr>
                    <w:top w:val="none" w:sz="0" w:space="0" w:color="auto"/>
                    <w:left w:val="none" w:sz="0" w:space="0" w:color="auto"/>
                    <w:bottom w:val="none" w:sz="0" w:space="0" w:color="auto"/>
                    <w:right w:val="none" w:sz="0" w:space="0" w:color="auto"/>
                  </w:divBdr>
                </w:div>
              </w:divsChild>
            </w:div>
            <w:div w:id="1146238740">
              <w:marLeft w:val="0"/>
              <w:marRight w:val="0"/>
              <w:marTop w:val="0"/>
              <w:marBottom w:val="0"/>
              <w:divBdr>
                <w:top w:val="none" w:sz="0" w:space="0" w:color="auto"/>
                <w:left w:val="none" w:sz="0" w:space="0" w:color="auto"/>
                <w:bottom w:val="none" w:sz="0" w:space="0" w:color="auto"/>
                <w:right w:val="none" w:sz="0" w:space="0" w:color="auto"/>
              </w:divBdr>
              <w:divsChild>
                <w:div w:id="908342174">
                  <w:marLeft w:val="0"/>
                  <w:marRight w:val="0"/>
                  <w:marTop w:val="0"/>
                  <w:marBottom w:val="0"/>
                  <w:divBdr>
                    <w:top w:val="none" w:sz="0" w:space="0" w:color="auto"/>
                    <w:left w:val="none" w:sz="0" w:space="0" w:color="auto"/>
                    <w:bottom w:val="none" w:sz="0" w:space="0" w:color="auto"/>
                    <w:right w:val="none" w:sz="0" w:space="0" w:color="auto"/>
                  </w:divBdr>
                </w:div>
              </w:divsChild>
            </w:div>
            <w:div w:id="1827547911">
              <w:marLeft w:val="0"/>
              <w:marRight w:val="0"/>
              <w:marTop w:val="0"/>
              <w:marBottom w:val="0"/>
              <w:divBdr>
                <w:top w:val="none" w:sz="0" w:space="0" w:color="auto"/>
                <w:left w:val="none" w:sz="0" w:space="0" w:color="auto"/>
                <w:bottom w:val="none" w:sz="0" w:space="0" w:color="auto"/>
                <w:right w:val="none" w:sz="0" w:space="0" w:color="auto"/>
              </w:divBdr>
              <w:divsChild>
                <w:div w:id="430394940">
                  <w:marLeft w:val="0"/>
                  <w:marRight w:val="0"/>
                  <w:marTop w:val="0"/>
                  <w:marBottom w:val="0"/>
                  <w:divBdr>
                    <w:top w:val="none" w:sz="0" w:space="0" w:color="auto"/>
                    <w:left w:val="none" w:sz="0" w:space="0" w:color="auto"/>
                    <w:bottom w:val="none" w:sz="0" w:space="0" w:color="auto"/>
                    <w:right w:val="none" w:sz="0" w:space="0" w:color="auto"/>
                  </w:divBdr>
                </w:div>
              </w:divsChild>
            </w:div>
            <w:div w:id="1054890620">
              <w:marLeft w:val="0"/>
              <w:marRight w:val="0"/>
              <w:marTop w:val="0"/>
              <w:marBottom w:val="0"/>
              <w:divBdr>
                <w:top w:val="none" w:sz="0" w:space="0" w:color="auto"/>
                <w:left w:val="none" w:sz="0" w:space="0" w:color="auto"/>
                <w:bottom w:val="none" w:sz="0" w:space="0" w:color="auto"/>
                <w:right w:val="none" w:sz="0" w:space="0" w:color="auto"/>
              </w:divBdr>
              <w:divsChild>
                <w:div w:id="1318651135">
                  <w:marLeft w:val="0"/>
                  <w:marRight w:val="0"/>
                  <w:marTop w:val="0"/>
                  <w:marBottom w:val="0"/>
                  <w:divBdr>
                    <w:top w:val="none" w:sz="0" w:space="0" w:color="auto"/>
                    <w:left w:val="none" w:sz="0" w:space="0" w:color="auto"/>
                    <w:bottom w:val="none" w:sz="0" w:space="0" w:color="auto"/>
                    <w:right w:val="none" w:sz="0" w:space="0" w:color="auto"/>
                  </w:divBdr>
                </w:div>
              </w:divsChild>
            </w:div>
            <w:div w:id="1571231628">
              <w:marLeft w:val="0"/>
              <w:marRight w:val="0"/>
              <w:marTop w:val="0"/>
              <w:marBottom w:val="0"/>
              <w:divBdr>
                <w:top w:val="none" w:sz="0" w:space="0" w:color="auto"/>
                <w:left w:val="none" w:sz="0" w:space="0" w:color="auto"/>
                <w:bottom w:val="none" w:sz="0" w:space="0" w:color="auto"/>
                <w:right w:val="none" w:sz="0" w:space="0" w:color="auto"/>
              </w:divBdr>
              <w:divsChild>
                <w:div w:id="1772161400">
                  <w:marLeft w:val="0"/>
                  <w:marRight w:val="0"/>
                  <w:marTop w:val="0"/>
                  <w:marBottom w:val="0"/>
                  <w:divBdr>
                    <w:top w:val="none" w:sz="0" w:space="0" w:color="auto"/>
                    <w:left w:val="none" w:sz="0" w:space="0" w:color="auto"/>
                    <w:bottom w:val="none" w:sz="0" w:space="0" w:color="auto"/>
                    <w:right w:val="none" w:sz="0" w:space="0" w:color="auto"/>
                  </w:divBdr>
                </w:div>
              </w:divsChild>
            </w:div>
            <w:div w:id="2369128">
              <w:marLeft w:val="0"/>
              <w:marRight w:val="0"/>
              <w:marTop w:val="0"/>
              <w:marBottom w:val="0"/>
              <w:divBdr>
                <w:top w:val="none" w:sz="0" w:space="0" w:color="auto"/>
                <w:left w:val="none" w:sz="0" w:space="0" w:color="auto"/>
                <w:bottom w:val="none" w:sz="0" w:space="0" w:color="auto"/>
                <w:right w:val="none" w:sz="0" w:space="0" w:color="auto"/>
              </w:divBdr>
              <w:divsChild>
                <w:div w:id="5983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0610">
      <w:bodyDiv w:val="1"/>
      <w:marLeft w:val="0"/>
      <w:marRight w:val="0"/>
      <w:marTop w:val="0"/>
      <w:marBottom w:val="0"/>
      <w:divBdr>
        <w:top w:val="none" w:sz="0" w:space="0" w:color="auto"/>
        <w:left w:val="none" w:sz="0" w:space="0" w:color="auto"/>
        <w:bottom w:val="none" w:sz="0" w:space="0" w:color="auto"/>
        <w:right w:val="none" w:sz="0" w:space="0" w:color="auto"/>
      </w:divBdr>
      <w:divsChild>
        <w:div w:id="1592351404">
          <w:marLeft w:val="0"/>
          <w:marRight w:val="0"/>
          <w:marTop w:val="0"/>
          <w:marBottom w:val="0"/>
          <w:divBdr>
            <w:top w:val="none" w:sz="0" w:space="0" w:color="auto"/>
            <w:left w:val="none" w:sz="0" w:space="0" w:color="auto"/>
            <w:bottom w:val="none" w:sz="0" w:space="0" w:color="auto"/>
            <w:right w:val="none" w:sz="0" w:space="0" w:color="auto"/>
          </w:divBdr>
          <w:divsChild>
            <w:div w:id="1261138010">
              <w:marLeft w:val="0"/>
              <w:marRight w:val="0"/>
              <w:marTop w:val="0"/>
              <w:marBottom w:val="0"/>
              <w:divBdr>
                <w:top w:val="none" w:sz="0" w:space="0" w:color="auto"/>
                <w:left w:val="none" w:sz="0" w:space="0" w:color="auto"/>
                <w:bottom w:val="none" w:sz="0" w:space="0" w:color="auto"/>
                <w:right w:val="none" w:sz="0" w:space="0" w:color="auto"/>
              </w:divBdr>
              <w:divsChild>
                <w:div w:id="526411435">
                  <w:marLeft w:val="0"/>
                  <w:marRight w:val="0"/>
                  <w:marTop w:val="0"/>
                  <w:marBottom w:val="0"/>
                  <w:divBdr>
                    <w:top w:val="none" w:sz="0" w:space="0" w:color="auto"/>
                    <w:left w:val="none" w:sz="0" w:space="0" w:color="auto"/>
                    <w:bottom w:val="none" w:sz="0" w:space="0" w:color="auto"/>
                    <w:right w:val="none" w:sz="0" w:space="0" w:color="auto"/>
                  </w:divBdr>
                  <w:divsChild>
                    <w:div w:id="6859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09450">
      <w:bodyDiv w:val="1"/>
      <w:marLeft w:val="0"/>
      <w:marRight w:val="0"/>
      <w:marTop w:val="0"/>
      <w:marBottom w:val="0"/>
      <w:divBdr>
        <w:top w:val="none" w:sz="0" w:space="0" w:color="auto"/>
        <w:left w:val="none" w:sz="0" w:space="0" w:color="auto"/>
        <w:bottom w:val="none" w:sz="0" w:space="0" w:color="auto"/>
        <w:right w:val="none" w:sz="0" w:space="0" w:color="auto"/>
      </w:divBdr>
      <w:divsChild>
        <w:div w:id="1037925431">
          <w:marLeft w:val="0"/>
          <w:marRight w:val="0"/>
          <w:marTop w:val="0"/>
          <w:marBottom w:val="0"/>
          <w:divBdr>
            <w:top w:val="none" w:sz="0" w:space="0" w:color="auto"/>
            <w:left w:val="none" w:sz="0" w:space="0" w:color="auto"/>
            <w:bottom w:val="none" w:sz="0" w:space="0" w:color="auto"/>
            <w:right w:val="none" w:sz="0" w:space="0" w:color="auto"/>
          </w:divBdr>
          <w:divsChild>
            <w:div w:id="88358711">
              <w:marLeft w:val="0"/>
              <w:marRight w:val="0"/>
              <w:marTop w:val="0"/>
              <w:marBottom w:val="0"/>
              <w:divBdr>
                <w:top w:val="none" w:sz="0" w:space="0" w:color="auto"/>
                <w:left w:val="none" w:sz="0" w:space="0" w:color="auto"/>
                <w:bottom w:val="none" w:sz="0" w:space="0" w:color="auto"/>
                <w:right w:val="none" w:sz="0" w:space="0" w:color="auto"/>
              </w:divBdr>
              <w:divsChild>
                <w:div w:id="100304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89435">
      <w:bodyDiv w:val="1"/>
      <w:marLeft w:val="0"/>
      <w:marRight w:val="0"/>
      <w:marTop w:val="0"/>
      <w:marBottom w:val="0"/>
      <w:divBdr>
        <w:top w:val="none" w:sz="0" w:space="0" w:color="auto"/>
        <w:left w:val="none" w:sz="0" w:space="0" w:color="auto"/>
        <w:bottom w:val="none" w:sz="0" w:space="0" w:color="auto"/>
        <w:right w:val="none" w:sz="0" w:space="0" w:color="auto"/>
      </w:divBdr>
      <w:divsChild>
        <w:div w:id="580791666">
          <w:marLeft w:val="0"/>
          <w:marRight w:val="0"/>
          <w:marTop w:val="0"/>
          <w:marBottom w:val="0"/>
          <w:divBdr>
            <w:top w:val="none" w:sz="0" w:space="0" w:color="auto"/>
            <w:left w:val="none" w:sz="0" w:space="0" w:color="auto"/>
            <w:bottom w:val="none" w:sz="0" w:space="0" w:color="auto"/>
            <w:right w:val="none" w:sz="0" w:space="0" w:color="auto"/>
          </w:divBdr>
          <w:divsChild>
            <w:div w:id="1185442114">
              <w:marLeft w:val="0"/>
              <w:marRight w:val="0"/>
              <w:marTop w:val="0"/>
              <w:marBottom w:val="0"/>
              <w:divBdr>
                <w:top w:val="none" w:sz="0" w:space="0" w:color="auto"/>
                <w:left w:val="none" w:sz="0" w:space="0" w:color="auto"/>
                <w:bottom w:val="none" w:sz="0" w:space="0" w:color="auto"/>
                <w:right w:val="none" w:sz="0" w:space="0" w:color="auto"/>
              </w:divBdr>
              <w:divsChild>
                <w:div w:id="15918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60533">
      <w:bodyDiv w:val="1"/>
      <w:marLeft w:val="0"/>
      <w:marRight w:val="0"/>
      <w:marTop w:val="0"/>
      <w:marBottom w:val="0"/>
      <w:divBdr>
        <w:top w:val="none" w:sz="0" w:space="0" w:color="auto"/>
        <w:left w:val="none" w:sz="0" w:space="0" w:color="auto"/>
        <w:bottom w:val="none" w:sz="0" w:space="0" w:color="auto"/>
        <w:right w:val="none" w:sz="0" w:space="0" w:color="auto"/>
      </w:divBdr>
      <w:divsChild>
        <w:div w:id="1035889181">
          <w:marLeft w:val="0"/>
          <w:marRight w:val="0"/>
          <w:marTop w:val="0"/>
          <w:marBottom w:val="0"/>
          <w:divBdr>
            <w:top w:val="none" w:sz="0" w:space="0" w:color="auto"/>
            <w:left w:val="none" w:sz="0" w:space="0" w:color="auto"/>
            <w:bottom w:val="none" w:sz="0" w:space="0" w:color="auto"/>
            <w:right w:val="none" w:sz="0" w:space="0" w:color="auto"/>
          </w:divBdr>
          <w:divsChild>
            <w:div w:id="1162621220">
              <w:marLeft w:val="0"/>
              <w:marRight w:val="0"/>
              <w:marTop w:val="0"/>
              <w:marBottom w:val="0"/>
              <w:divBdr>
                <w:top w:val="none" w:sz="0" w:space="0" w:color="auto"/>
                <w:left w:val="none" w:sz="0" w:space="0" w:color="auto"/>
                <w:bottom w:val="none" w:sz="0" w:space="0" w:color="auto"/>
                <w:right w:val="none" w:sz="0" w:space="0" w:color="auto"/>
              </w:divBdr>
              <w:divsChild>
                <w:div w:id="9913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3655">
      <w:bodyDiv w:val="1"/>
      <w:marLeft w:val="0"/>
      <w:marRight w:val="0"/>
      <w:marTop w:val="0"/>
      <w:marBottom w:val="0"/>
      <w:divBdr>
        <w:top w:val="none" w:sz="0" w:space="0" w:color="auto"/>
        <w:left w:val="none" w:sz="0" w:space="0" w:color="auto"/>
        <w:bottom w:val="none" w:sz="0" w:space="0" w:color="auto"/>
        <w:right w:val="none" w:sz="0" w:space="0" w:color="auto"/>
      </w:divBdr>
    </w:div>
    <w:div w:id="404111284">
      <w:bodyDiv w:val="1"/>
      <w:marLeft w:val="0"/>
      <w:marRight w:val="0"/>
      <w:marTop w:val="0"/>
      <w:marBottom w:val="0"/>
      <w:divBdr>
        <w:top w:val="none" w:sz="0" w:space="0" w:color="auto"/>
        <w:left w:val="none" w:sz="0" w:space="0" w:color="auto"/>
        <w:bottom w:val="none" w:sz="0" w:space="0" w:color="auto"/>
        <w:right w:val="none" w:sz="0" w:space="0" w:color="auto"/>
      </w:divBdr>
    </w:div>
    <w:div w:id="459691324">
      <w:bodyDiv w:val="1"/>
      <w:marLeft w:val="0"/>
      <w:marRight w:val="0"/>
      <w:marTop w:val="0"/>
      <w:marBottom w:val="0"/>
      <w:divBdr>
        <w:top w:val="none" w:sz="0" w:space="0" w:color="auto"/>
        <w:left w:val="none" w:sz="0" w:space="0" w:color="auto"/>
        <w:bottom w:val="none" w:sz="0" w:space="0" w:color="auto"/>
        <w:right w:val="none" w:sz="0" w:space="0" w:color="auto"/>
      </w:divBdr>
    </w:div>
    <w:div w:id="475415742">
      <w:bodyDiv w:val="1"/>
      <w:marLeft w:val="0"/>
      <w:marRight w:val="0"/>
      <w:marTop w:val="0"/>
      <w:marBottom w:val="0"/>
      <w:divBdr>
        <w:top w:val="none" w:sz="0" w:space="0" w:color="auto"/>
        <w:left w:val="none" w:sz="0" w:space="0" w:color="auto"/>
        <w:bottom w:val="none" w:sz="0" w:space="0" w:color="auto"/>
        <w:right w:val="none" w:sz="0" w:space="0" w:color="auto"/>
      </w:divBdr>
      <w:divsChild>
        <w:div w:id="467823938">
          <w:marLeft w:val="0"/>
          <w:marRight w:val="0"/>
          <w:marTop w:val="0"/>
          <w:marBottom w:val="0"/>
          <w:divBdr>
            <w:top w:val="none" w:sz="0" w:space="0" w:color="auto"/>
            <w:left w:val="none" w:sz="0" w:space="0" w:color="auto"/>
            <w:bottom w:val="none" w:sz="0" w:space="0" w:color="auto"/>
            <w:right w:val="none" w:sz="0" w:space="0" w:color="auto"/>
          </w:divBdr>
          <w:divsChild>
            <w:div w:id="2046131533">
              <w:marLeft w:val="0"/>
              <w:marRight w:val="0"/>
              <w:marTop w:val="0"/>
              <w:marBottom w:val="0"/>
              <w:divBdr>
                <w:top w:val="none" w:sz="0" w:space="0" w:color="auto"/>
                <w:left w:val="none" w:sz="0" w:space="0" w:color="auto"/>
                <w:bottom w:val="none" w:sz="0" w:space="0" w:color="auto"/>
                <w:right w:val="none" w:sz="0" w:space="0" w:color="auto"/>
              </w:divBdr>
              <w:divsChild>
                <w:div w:id="1088498521">
                  <w:marLeft w:val="0"/>
                  <w:marRight w:val="0"/>
                  <w:marTop w:val="0"/>
                  <w:marBottom w:val="0"/>
                  <w:divBdr>
                    <w:top w:val="none" w:sz="0" w:space="0" w:color="auto"/>
                    <w:left w:val="none" w:sz="0" w:space="0" w:color="auto"/>
                    <w:bottom w:val="none" w:sz="0" w:space="0" w:color="auto"/>
                    <w:right w:val="none" w:sz="0" w:space="0" w:color="auto"/>
                  </w:divBdr>
                  <w:divsChild>
                    <w:div w:id="12574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3890">
      <w:bodyDiv w:val="1"/>
      <w:marLeft w:val="0"/>
      <w:marRight w:val="0"/>
      <w:marTop w:val="0"/>
      <w:marBottom w:val="0"/>
      <w:divBdr>
        <w:top w:val="none" w:sz="0" w:space="0" w:color="auto"/>
        <w:left w:val="none" w:sz="0" w:space="0" w:color="auto"/>
        <w:bottom w:val="none" w:sz="0" w:space="0" w:color="auto"/>
        <w:right w:val="none" w:sz="0" w:space="0" w:color="auto"/>
      </w:divBdr>
      <w:divsChild>
        <w:div w:id="72168369">
          <w:marLeft w:val="0"/>
          <w:marRight w:val="0"/>
          <w:marTop w:val="0"/>
          <w:marBottom w:val="0"/>
          <w:divBdr>
            <w:top w:val="none" w:sz="0" w:space="0" w:color="auto"/>
            <w:left w:val="none" w:sz="0" w:space="0" w:color="auto"/>
            <w:bottom w:val="none" w:sz="0" w:space="0" w:color="auto"/>
            <w:right w:val="none" w:sz="0" w:space="0" w:color="auto"/>
          </w:divBdr>
          <w:divsChild>
            <w:div w:id="1166434931">
              <w:marLeft w:val="0"/>
              <w:marRight w:val="0"/>
              <w:marTop w:val="0"/>
              <w:marBottom w:val="0"/>
              <w:divBdr>
                <w:top w:val="none" w:sz="0" w:space="0" w:color="auto"/>
                <w:left w:val="none" w:sz="0" w:space="0" w:color="auto"/>
                <w:bottom w:val="none" w:sz="0" w:space="0" w:color="auto"/>
                <w:right w:val="none" w:sz="0" w:space="0" w:color="auto"/>
              </w:divBdr>
              <w:divsChild>
                <w:div w:id="1011184333">
                  <w:marLeft w:val="0"/>
                  <w:marRight w:val="0"/>
                  <w:marTop w:val="0"/>
                  <w:marBottom w:val="0"/>
                  <w:divBdr>
                    <w:top w:val="none" w:sz="0" w:space="0" w:color="auto"/>
                    <w:left w:val="none" w:sz="0" w:space="0" w:color="auto"/>
                    <w:bottom w:val="none" w:sz="0" w:space="0" w:color="auto"/>
                    <w:right w:val="none" w:sz="0" w:space="0" w:color="auto"/>
                  </w:divBdr>
                  <w:divsChild>
                    <w:div w:id="20681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74811">
      <w:bodyDiv w:val="1"/>
      <w:marLeft w:val="0"/>
      <w:marRight w:val="0"/>
      <w:marTop w:val="0"/>
      <w:marBottom w:val="0"/>
      <w:divBdr>
        <w:top w:val="none" w:sz="0" w:space="0" w:color="auto"/>
        <w:left w:val="none" w:sz="0" w:space="0" w:color="auto"/>
        <w:bottom w:val="none" w:sz="0" w:space="0" w:color="auto"/>
        <w:right w:val="none" w:sz="0" w:space="0" w:color="auto"/>
      </w:divBdr>
      <w:divsChild>
        <w:div w:id="2062173066">
          <w:marLeft w:val="0"/>
          <w:marRight w:val="0"/>
          <w:marTop w:val="0"/>
          <w:marBottom w:val="0"/>
          <w:divBdr>
            <w:top w:val="none" w:sz="0" w:space="0" w:color="auto"/>
            <w:left w:val="none" w:sz="0" w:space="0" w:color="auto"/>
            <w:bottom w:val="none" w:sz="0" w:space="0" w:color="auto"/>
            <w:right w:val="none" w:sz="0" w:space="0" w:color="auto"/>
          </w:divBdr>
          <w:divsChild>
            <w:div w:id="878708790">
              <w:marLeft w:val="0"/>
              <w:marRight w:val="0"/>
              <w:marTop w:val="0"/>
              <w:marBottom w:val="0"/>
              <w:divBdr>
                <w:top w:val="none" w:sz="0" w:space="0" w:color="auto"/>
                <w:left w:val="none" w:sz="0" w:space="0" w:color="auto"/>
                <w:bottom w:val="none" w:sz="0" w:space="0" w:color="auto"/>
                <w:right w:val="none" w:sz="0" w:space="0" w:color="auto"/>
              </w:divBdr>
              <w:divsChild>
                <w:div w:id="10377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6804">
      <w:bodyDiv w:val="1"/>
      <w:marLeft w:val="0"/>
      <w:marRight w:val="0"/>
      <w:marTop w:val="0"/>
      <w:marBottom w:val="0"/>
      <w:divBdr>
        <w:top w:val="none" w:sz="0" w:space="0" w:color="auto"/>
        <w:left w:val="none" w:sz="0" w:space="0" w:color="auto"/>
        <w:bottom w:val="none" w:sz="0" w:space="0" w:color="auto"/>
        <w:right w:val="none" w:sz="0" w:space="0" w:color="auto"/>
      </w:divBdr>
    </w:div>
    <w:div w:id="558705805">
      <w:bodyDiv w:val="1"/>
      <w:marLeft w:val="0"/>
      <w:marRight w:val="0"/>
      <w:marTop w:val="0"/>
      <w:marBottom w:val="0"/>
      <w:divBdr>
        <w:top w:val="none" w:sz="0" w:space="0" w:color="auto"/>
        <w:left w:val="none" w:sz="0" w:space="0" w:color="auto"/>
        <w:bottom w:val="none" w:sz="0" w:space="0" w:color="auto"/>
        <w:right w:val="none" w:sz="0" w:space="0" w:color="auto"/>
      </w:divBdr>
      <w:divsChild>
        <w:div w:id="420757532">
          <w:marLeft w:val="0"/>
          <w:marRight w:val="0"/>
          <w:marTop w:val="0"/>
          <w:marBottom w:val="0"/>
          <w:divBdr>
            <w:top w:val="none" w:sz="0" w:space="0" w:color="auto"/>
            <w:left w:val="none" w:sz="0" w:space="0" w:color="auto"/>
            <w:bottom w:val="none" w:sz="0" w:space="0" w:color="auto"/>
            <w:right w:val="none" w:sz="0" w:space="0" w:color="auto"/>
          </w:divBdr>
        </w:div>
        <w:div w:id="240989263">
          <w:marLeft w:val="0"/>
          <w:marRight w:val="0"/>
          <w:marTop w:val="0"/>
          <w:marBottom w:val="0"/>
          <w:divBdr>
            <w:top w:val="none" w:sz="0" w:space="0" w:color="auto"/>
            <w:left w:val="none" w:sz="0" w:space="0" w:color="auto"/>
            <w:bottom w:val="none" w:sz="0" w:space="0" w:color="auto"/>
            <w:right w:val="none" w:sz="0" w:space="0" w:color="auto"/>
          </w:divBdr>
        </w:div>
        <w:div w:id="1677422076">
          <w:marLeft w:val="0"/>
          <w:marRight w:val="0"/>
          <w:marTop w:val="0"/>
          <w:marBottom w:val="0"/>
          <w:divBdr>
            <w:top w:val="none" w:sz="0" w:space="0" w:color="auto"/>
            <w:left w:val="none" w:sz="0" w:space="0" w:color="auto"/>
            <w:bottom w:val="none" w:sz="0" w:space="0" w:color="auto"/>
            <w:right w:val="none" w:sz="0" w:space="0" w:color="auto"/>
          </w:divBdr>
        </w:div>
        <w:div w:id="93131001">
          <w:marLeft w:val="0"/>
          <w:marRight w:val="0"/>
          <w:marTop w:val="0"/>
          <w:marBottom w:val="0"/>
          <w:divBdr>
            <w:top w:val="none" w:sz="0" w:space="0" w:color="auto"/>
            <w:left w:val="none" w:sz="0" w:space="0" w:color="auto"/>
            <w:bottom w:val="none" w:sz="0" w:space="0" w:color="auto"/>
            <w:right w:val="none" w:sz="0" w:space="0" w:color="auto"/>
          </w:divBdr>
        </w:div>
      </w:divsChild>
    </w:div>
    <w:div w:id="561409113">
      <w:bodyDiv w:val="1"/>
      <w:marLeft w:val="0"/>
      <w:marRight w:val="0"/>
      <w:marTop w:val="0"/>
      <w:marBottom w:val="0"/>
      <w:divBdr>
        <w:top w:val="none" w:sz="0" w:space="0" w:color="auto"/>
        <w:left w:val="none" w:sz="0" w:space="0" w:color="auto"/>
        <w:bottom w:val="none" w:sz="0" w:space="0" w:color="auto"/>
        <w:right w:val="none" w:sz="0" w:space="0" w:color="auto"/>
      </w:divBdr>
      <w:divsChild>
        <w:div w:id="1698893102">
          <w:marLeft w:val="0"/>
          <w:marRight w:val="0"/>
          <w:marTop w:val="0"/>
          <w:marBottom w:val="0"/>
          <w:divBdr>
            <w:top w:val="none" w:sz="0" w:space="0" w:color="auto"/>
            <w:left w:val="none" w:sz="0" w:space="0" w:color="auto"/>
            <w:bottom w:val="none" w:sz="0" w:space="0" w:color="auto"/>
            <w:right w:val="none" w:sz="0" w:space="0" w:color="auto"/>
          </w:divBdr>
          <w:divsChild>
            <w:div w:id="310332447">
              <w:marLeft w:val="0"/>
              <w:marRight w:val="0"/>
              <w:marTop w:val="0"/>
              <w:marBottom w:val="0"/>
              <w:divBdr>
                <w:top w:val="none" w:sz="0" w:space="0" w:color="auto"/>
                <w:left w:val="none" w:sz="0" w:space="0" w:color="auto"/>
                <w:bottom w:val="none" w:sz="0" w:space="0" w:color="auto"/>
                <w:right w:val="none" w:sz="0" w:space="0" w:color="auto"/>
              </w:divBdr>
              <w:divsChild>
                <w:div w:id="652687011">
                  <w:marLeft w:val="0"/>
                  <w:marRight w:val="0"/>
                  <w:marTop w:val="0"/>
                  <w:marBottom w:val="0"/>
                  <w:divBdr>
                    <w:top w:val="none" w:sz="0" w:space="0" w:color="auto"/>
                    <w:left w:val="none" w:sz="0" w:space="0" w:color="auto"/>
                    <w:bottom w:val="none" w:sz="0" w:space="0" w:color="auto"/>
                    <w:right w:val="none" w:sz="0" w:space="0" w:color="auto"/>
                  </w:divBdr>
                  <w:divsChild>
                    <w:div w:id="1295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881292">
      <w:bodyDiv w:val="1"/>
      <w:marLeft w:val="0"/>
      <w:marRight w:val="0"/>
      <w:marTop w:val="0"/>
      <w:marBottom w:val="0"/>
      <w:divBdr>
        <w:top w:val="none" w:sz="0" w:space="0" w:color="auto"/>
        <w:left w:val="none" w:sz="0" w:space="0" w:color="auto"/>
        <w:bottom w:val="none" w:sz="0" w:space="0" w:color="auto"/>
        <w:right w:val="none" w:sz="0" w:space="0" w:color="auto"/>
      </w:divBdr>
    </w:div>
    <w:div w:id="596138276">
      <w:bodyDiv w:val="1"/>
      <w:marLeft w:val="0"/>
      <w:marRight w:val="0"/>
      <w:marTop w:val="0"/>
      <w:marBottom w:val="0"/>
      <w:divBdr>
        <w:top w:val="none" w:sz="0" w:space="0" w:color="auto"/>
        <w:left w:val="none" w:sz="0" w:space="0" w:color="auto"/>
        <w:bottom w:val="none" w:sz="0" w:space="0" w:color="auto"/>
        <w:right w:val="none" w:sz="0" w:space="0" w:color="auto"/>
      </w:divBdr>
      <w:divsChild>
        <w:div w:id="1419324540">
          <w:marLeft w:val="0"/>
          <w:marRight w:val="0"/>
          <w:marTop w:val="0"/>
          <w:marBottom w:val="0"/>
          <w:divBdr>
            <w:top w:val="none" w:sz="0" w:space="0" w:color="auto"/>
            <w:left w:val="none" w:sz="0" w:space="0" w:color="auto"/>
            <w:bottom w:val="none" w:sz="0" w:space="0" w:color="auto"/>
            <w:right w:val="none" w:sz="0" w:space="0" w:color="auto"/>
          </w:divBdr>
          <w:divsChild>
            <w:div w:id="121114756">
              <w:marLeft w:val="0"/>
              <w:marRight w:val="0"/>
              <w:marTop w:val="0"/>
              <w:marBottom w:val="0"/>
              <w:divBdr>
                <w:top w:val="none" w:sz="0" w:space="0" w:color="auto"/>
                <w:left w:val="none" w:sz="0" w:space="0" w:color="auto"/>
                <w:bottom w:val="none" w:sz="0" w:space="0" w:color="auto"/>
                <w:right w:val="none" w:sz="0" w:space="0" w:color="auto"/>
              </w:divBdr>
              <w:divsChild>
                <w:div w:id="2009406830">
                  <w:marLeft w:val="0"/>
                  <w:marRight w:val="0"/>
                  <w:marTop w:val="0"/>
                  <w:marBottom w:val="0"/>
                  <w:divBdr>
                    <w:top w:val="none" w:sz="0" w:space="0" w:color="auto"/>
                    <w:left w:val="none" w:sz="0" w:space="0" w:color="auto"/>
                    <w:bottom w:val="none" w:sz="0" w:space="0" w:color="auto"/>
                    <w:right w:val="none" w:sz="0" w:space="0" w:color="auto"/>
                  </w:divBdr>
                </w:div>
              </w:divsChild>
            </w:div>
            <w:div w:id="1532449735">
              <w:marLeft w:val="0"/>
              <w:marRight w:val="0"/>
              <w:marTop w:val="0"/>
              <w:marBottom w:val="0"/>
              <w:divBdr>
                <w:top w:val="none" w:sz="0" w:space="0" w:color="auto"/>
                <w:left w:val="none" w:sz="0" w:space="0" w:color="auto"/>
                <w:bottom w:val="none" w:sz="0" w:space="0" w:color="auto"/>
                <w:right w:val="none" w:sz="0" w:space="0" w:color="auto"/>
              </w:divBdr>
              <w:divsChild>
                <w:div w:id="681780766">
                  <w:marLeft w:val="0"/>
                  <w:marRight w:val="0"/>
                  <w:marTop w:val="0"/>
                  <w:marBottom w:val="0"/>
                  <w:divBdr>
                    <w:top w:val="none" w:sz="0" w:space="0" w:color="auto"/>
                    <w:left w:val="none" w:sz="0" w:space="0" w:color="auto"/>
                    <w:bottom w:val="none" w:sz="0" w:space="0" w:color="auto"/>
                    <w:right w:val="none" w:sz="0" w:space="0" w:color="auto"/>
                  </w:divBdr>
                </w:div>
              </w:divsChild>
            </w:div>
            <w:div w:id="1142846754">
              <w:marLeft w:val="0"/>
              <w:marRight w:val="0"/>
              <w:marTop w:val="0"/>
              <w:marBottom w:val="0"/>
              <w:divBdr>
                <w:top w:val="none" w:sz="0" w:space="0" w:color="auto"/>
                <w:left w:val="none" w:sz="0" w:space="0" w:color="auto"/>
                <w:bottom w:val="none" w:sz="0" w:space="0" w:color="auto"/>
                <w:right w:val="none" w:sz="0" w:space="0" w:color="auto"/>
              </w:divBdr>
              <w:divsChild>
                <w:div w:id="1357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069">
      <w:bodyDiv w:val="1"/>
      <w:marLeft w:val="0"/>
      <w:marRight w:val="0"/>
      <w:marTop w:val="0"/>
      <w:marBottom w:val="0"/>
      <w:divBdr>
        <w:top w:val="none" w:sz="0" w:space="0" w:color="auto"/>
        <w:left w:val="none" w:sz="0" w:space="0" w:color="auto"/>
        <w:bottom w:val="none" w:sz="0" w:space="0" w:color="auto"/>
        <w:right w:val="none" w:sz="0" w:space="0" w:color="auto"/>
      </w:divBdr>
    </w:div>
    <w:div w:id="728656198">
      <w:bodyDiv w:val="1"/>
      <w:marLeft w:val="0"/>
      <w:marRight w:val="0"/>
      <w:marTop w:val="0"/>
      <w:marBottom w:val="0"/>
      <w:divBdr>
        <w:top w:val="none" w:sz="0" w:space="0" w:color="auto"/>
        <w:left w:val="none" w:sz="0" w:space="0" w:color="auto"/>
        <w:bottom w:val="none" w:sz="0" w:space="0" w:color="auto"/>
        <w:right w:val="none" w:sz="0" w:space="0" w:color="auto"/>
      </w:divBdr>
      <w:divsChild>
        <w:div w:id="1809282154">
          <w:marLeft w:val="0"/>
          <w:marRight w:val="0"/>
          <w:marTop w:val="0"/>
          <w:marBottom w:val="0"/>
          <w:divBdr>
            <w:top w:val="none" w:sz="0" w:space="0" w:color="auto"/>
            <w:left w:val="none" w:sz="0" w:space="0" w:color="auto"/>
            <w:bottom w:val="none" w:sz="0" w:space="0" w:color="auto"/>
            <w:right w:val="none" w:sz="0" w:space="0" w:color="auto"/>
          </w:divBdr>
          <w:divsChild>
            <w:div w:id="625936984">
              <w:marLeft w:val="0"/>
              <w:marRight w:val="0"/>
              <w:marTop w:val="0"/>
              <w:marBottom w:val="0"/>
              <w:divBdr>
                <w:top w:val="none" w:sz="0" w:space="0" w:color="auto"/>
                <w:left w:val="none" w:sz="0" w:space="0" w:color="auto"/>
                <w:bottom w:val="none" w:sz="0" w:space="0" w:color="auto"/>
                <w:right w:val="none" w:sz="0" w:space="0" w:color="auto"/>
              </w:divBdr>
              <w:divsChild>
                <w:div w:id="4615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53755">
      <w:bodyDiv w:val="1"/>
      <w:marLeft w:val="0"/>
      <w:marRight w:val="0"/>
      <w:marTop w:val="0"/>
      <w:marBottom w:val="0"/>
      <w:divBdr>
        <w:top w:val="none" w:sz="0" w:space="0" w:color="auto"/>
        <w:left w:val="none" w:sz="0" w:space="0" w:color="auto"/>
        <w:bottom w:val="none" w:sz="0" w:space="0" w:color="auto"/>
        <w:right w:val="none" w:sz="0" w:space="0" w:color="auto"/>
      </w:divBdr>
      <w:divsChild>
        <w:div w:id="1368289399">
          <w:marLeft w:val="0"/>
          <w:marRight w:val="0"/>
          <w:marTop w:val="0"/>
          <w:marBottom w:val="0"/>
          <w:divBdr>
            <w:top w:val="none" w:sz="0" w:space="0" w:color="auto"/>
            <w:left w:val="none" w:sz="0" w:space="0" w:color="auto"/>
            <w:bottom w:val="none" w:sz="0" w:space="0" w:color="auto"/>
            <w:right w:val="none" w:sz="0" w:space="0" w:color="auto"/>
          </w:divBdr>
          <w:divsChild>
            <w:div w:id="552236656">
              <w:marLeft w:val="0"/>
              <w:marRight w:val="0"/>
              <w:marTop w:val="0"/>
              <w:marBottom w:val="0"/>
              <w:divBdr>
                <w:top w:val="none" w:sz="0" w:space="0" w:color="auto"/>
                <w:left w:val="none" w:sz="0" w:space="0" w:color="auto"/>
                <w:bottom w:val="none" w:sz="0" w:space="0" w:color="auto"/>
                <w:right w:val="none" w:sz="0" w:space="0" w:color="auto"/>
              </w:divBdr>
              <w:divsChild>
                <w:div w:id="1597203844">
                  <w:marLeft w:val="0"/>
                  <w:marRight w:val="0"/>
                  <w:marTop w:val="0"/>
                  <w:marBottom w:val="0"/>
                  <w:divBdr>
                    <w:top w:val="none" w:sz="0" w:space="0" w:color="auto"/>
                    <w:left w:val="none" w:sz="0" w:space="0" w:color="auto"/>
                    <w:bottom w:val="none" w:sz="0" w:space="0" w:color="auto"/>
                    <w:right w:val="none" w:sz="0" w:space="0" w:color="auto"/>
                  </w:divBdr>
                </w:div>
              </w:divsChild>
            </w:div>
            <w:div w:id="297733342">
              <w:marLeft w:val="0"/>
              <w:marRight w:val="0"/>
              <w:marTop w:val="0"/>
              <w:marBottom w:val="0"/>
              <w:divBdr>
                <w:top w:val="none" w:sz="0" w:space="0" w:color="auto"/>
                <w:left w:val="none" w:sz="0" w:space="0" w:color="auto"/>
                <w:bottom w:val="none" w:sz="0" w:space="0" w:color="auto"/>
                <w:right w:val="none" w:sz="0" w:space="0" w:color="auto"/>
              </w:divBdr>
              <w:divsChild>
                <w:div w:id="1612318904">
                  <w:marLeft w:val="0"/>
                  <w:marRight w:val="0"/>
                  <w:marTop w:val="0"/>
                  <w:marBottom w:val="0"/>
                  <w:divBdr>
                    <w:top w:val="none" w:sz="0" w:space="0" w:color="auto"/>
                    <w:left w:val="none" w:sz="0" w:space="0" w:color="auto"/>
                    <w:bottom w:val="none" w:sz="0" w:space="0" w:color="auto"/>
                    <w:right w:val="none" w:sz="0" w:space="0" w:color="auto"/>
                  </w:divBdr>
                </w:div>
              </w:divsChild>
            </w:div>
            <w:div w:id="32506258">
              <w:marLeft w:val="0"/>
              <w:marRight w:val="0"/>
              <w:marTop w:val="0"/>
              <w:marBottom w:val="0"/>
              <w:divBdr>
                <w:top w:val="none" w:sz="0" w:space="0" w:color="auto"/>
                <w:left w:val="none" w:sz="0" w:space="0" w:color="auto"/>
                <w:bottom w:val="none" w:sz="0" w:space="0" w:color="auto"/>
                <w:right w:val="none" w:sz="0" w:space="0" w:color="auto"/>
              </w:divBdr>
              <w:divsChild>
                <w:div w:id="5581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6516">
      <w:bodyDiv w:val="1"/>
      <w:marLeft w:val="0"/>
      <w:marRight w:val="0"/>
      <w:marTop w:val="0"/>
      <w:marBottom w:val="0"/>
      <w:divBdr>
        <w:top w:val="none" w:sz="0" w:space="0" w:color="auto"/>
        <w:left w:val="none" w:sz="0" w:space="0" w:color="auto"/>
        <w:bottom w:val="none" w:sz="0" w:space="0" w:color="auto"/>
        <w:right w:val="none" w:sz="0" w:space="0" w:color="auto"/>
      </w:divBdr>
    </w:div>
    <w:div w:id="788743376">
      <w:bodyDiv w:val="1"/>
      <w:marLeft w:val="0"/>
      <w:marRight w:val="0"/>
      <w:marTop w:val="0"/>
      <w:marBottom w:val="0"/>
      <w:divBdr>
        <w:top w:val="none" w:sz="0" w:space="0" w:color="auto"/>
        <w:left w:val="none" w:sz="0" w:space="0" w:color="auto"/>
        <w:bottom w:val="none" w:sz="0" w:space="0" w:color="auto"/>
        <w:right w:val="none" w:sz="0" w:space="0" w:color="auto"/>
      </w:divBdr>
    </w:div>
    <w:div w:id="819813747">
      <w:bodyDiv w:val="1"/>
      <w:marLeft w:val="0"/>
      <w:marRight w:val="0"/>
      <w:marTop w:val="0"/>
      <w:marBottom w:val="0"/>
      <w:divBdr>
        <w:top w:val="none" w:sz="0" w:space="0" w:color="auto"/>
        <w:left w:val="none" w:sz="0" w:space="0" w:color="auto"/>
        <w:bottom w:val="none" w:sz="0" w:space="0" w:color="auto"/>
        <w:right w:val="none" w:sz="0" w:space="0" w:color="auto"/>
      </w:divBdr>
    </w:div>
    <w:div w:id="882525928">
      <w:bodyDiv w:val="1"/>
      <w:marLeft w:val="0"/>
      <w:marRight w:val="0"/>
      <w:marTop w:val="0"/>
      <w:marBottom w:val="0"/>
      <w:divBdr>
        <w:top w:val="none" w:sz="0" w:space="0" w:color="auto"/>
        <w:left w:val="none" w:sz="0" w:space="0" w:color="auto"/>
        <w:bottom w:val="none" w:sz="0" w:space="0" w:color="auto"/>
        <w:right w:val="none" w:sz="0" w:space="0" w:color="auto"/>
      </w:divBdr>
      <w:divsChild>
        <w:div w:id="460341431">
          <w:marLeft w:val="0"/>
          <w:marRight w:val="0"/>
          <w:marTop w:val="0"/>
          <w:marBottom w:val="0"/>
          <w:divBdr>
            <w:top w:val="none" w:sz="0" w:space="0" w:color="auto"/>
            <w:left w:val="none" w:sz="0" w:space="0" w:color="auto"/>
            <w:bottom w:val="none" w:sz="0" w:space="0" w:color="auto"/>
            <w:right w:val="none" w:sz="0" w:space="0" w:color="auto"/>
          </w:divBdr>
          <w:divsChild>
            <w:div w:id="747117427">
              <w:marLeft w:val="0"/>
              <w:marRight w:val="0"/>
              <w:marTop w:val="0"/>
              <w:marBottom w:val="0"/>
              <w:divBdr>
                <w:top w:val="none" w:sz="0" w:space="0" w:color="auto"/>
                <w:left w:val="none" w:sz="0" w:space="0" w:color="auto"/>
                <w:bottom w:val="none" w:sz="0" w:space="0" w:color="auto"/>
                <w:right w:val="none" w:sz="0" w:space="0" w:color="auto"/>
              </w:divBdr>
              <w:divsChild>
                <w:div w:id="11136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8291">
      <w:bodyDiv w:val="1"/>
      <w:marLeft w:val="0"/>
      <w:marRight w:val="0"/>
      <w:marTop w:val="0"/>
      <w:marBottom w:val="0"/>
      <w:divBdr>
        <w:top w:val="none" w:sz="0" w:space="0" w:color="auto"/>
        <w:left w:val="none" w:sz="0" w:space="0" w:color="auto"/>
        <w:bottom w:val="none" w:sz="0" w:space="0" w:color="auto"/>
        <w:right w:val="none" w:sz="0" w:space="0" w:color="auto"/>
      </w:divBdr>
      <w:divsChild>
        <w:div w:id="1063335447">
          <w:marLeft w:val="0"/>
          <w:marRight w:val="0"/>
          <w:marTop w:val="0"/>
          <w:marBottom w:val="0"/>
          <w:divBdr>
            <w:top w:val="none" w:sz="0" w:space="0" w:color="auto"/>
            <w:left w:val="none" w:sz="0" w:space="0" w:color="auto"/>
            <w:bottom w:val="none" w:sz="0" w:space="0" w:color="auto"/>
            <w:right w:val="none" w:sz="0" w:space="0" w:color="auto"/>
          </w:divBdr>
          <w:divsChild>
            <w:div w:id="1539506231">
              <w:marLeft w:val="0"/>
              <w:marRight w:val="0"/>
              <w:marTop w:val="0"/>
              <w:marBottom w:val="0"/>
              <w:divBdr>
                <w:top w:val="none" w:sz="0" w:space="0" w:color="auto"/>
                <w:left w:val="none" w:sz="0" w:space="0" w:color="auto"/>
                <w:bottom w:val="none" w:sz="0" w:space="0" w:color="auto"/>
                <w:right w:val="none" w:sz="0" w:space="0" w:color="auto"/>
              </w:divBdr>
              <w:divsChild>
                <w:div w:id="971599178">
                  <w:marLeft w:val="0"/>
                  <w:marRight w:val="0"/>
                  <w:marTop w:val="0"/>
                  <w:marBottom w:val="0"/>
                  <w:divBdr>
                    <w:top w:val="none" w:sz="0" w:space="0" w:color="auto"/>
                    <w:left w:val="none" w:sz="0" w:space="0" w:color="auto"/>
                    <w:bottom w:val="none" w:sz="0" w:space="0" w:color="auto"/>
                    <w:right w:val="none" w:sz="0" w:space="0" w:color="auto"/>
                  </w:divBdr>
                  <w:divsChild>
                    <w:div w:id="3558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759026">
      <w:bodyDiv w:val="1"/>
      <w:marLeft w:val="0"/>
      <w:marRight w:val="0"/>
      <w:marTop w:val="0"/>
      <w:marBottom w:val="0"/>
      <w:divBdr>
        <w:top w:val="none" w:sz="0" w:space="0" w:color="auto"/>
        <w:left w:val="none" w:sz="0" w:space="0" w:color="auto"/>
        <w:bottom w:val="none" w:sz="0" w:space="0" w:color="auto"/>
        <w:right w:val="none" w:sz="0" w:space="0" w:color="auto"/>
      </w:divBdr>
      <w:divsChild>
        <w:div w:id="1902910130">
          <w:marLeft w:val="0"/>
          <w:marRight w:val="0"/>
          <w:marTop w:val="0"/>
          <w:marBottom w:val="0"/>
          <w:divBdr>
            <w:top w:val="none" w:sz="0" w:space="0" w:color="auto"/>
            <w:left w:val="none" w:sz="0" w:space="0" w:color="auto"/>
            <w:bottom w:val="none" w:sz="0" w:space="0" w:color="auto"/>
            <w:right w:val="none" w:sz="0" w:space="0" w:color="auto"/>
          </w:divBdr>
          <w:divsChild>
            <w:div w:id="1502619990">
              <w:marLeft w:val="0"/>
              <w:marRight w:val="0"/>
              <w:marTop w:val="0"/>
              <w:marBottom w:val="0"/>
              <w:divBdr>
                <w:top w:val="none" w:sz="0" w:space="0" w:color="auto"/>
                <w:left w:val="none" w:sz="0" w:space="0" w:color="auto"/>
                <w:bottom w:val="none" w:sz="0" w:space="0" w:color="auto"/>
                <w:right w:val="none" w:sz="0" w:space="0" w:color="auto"/>
              </w:divBdr>
              <w:divsChild>
                <w:div w:id="2144541900">
                  <w:marLeft w:val="0"/>
                  <w:marRight w:val="0"/>
                  <w:marTop w:val="0"/>
                  <w:marBottom w:val="0"/>
                  <w:divBdr>
                    <w:top w:val="none" w:sz="0" w:space="0" w:color="auto"/>
                    <w:left w:val="none" w:sz="0" w:space="0" w:color="auto"/>
                    <w:bottom w:val="none" w:sz="0" w:space="0" w:color="auto"/>
                    <w:right w:val="none" w:sz="0" w:space="0" w:color="auto"/>
                  </w:divBdr>
                </w:div>
              </w:divsChild>
            </w:div>
            <w:div w:id="699014000">
              <w:marLeft w:val="0"/>
              <w:marRight w:val="0"/>
              <w:marTop w:val="0"/>
              <w:marBottom w:val="0"/>
              <w:divBdr>
                <w:top w:val="none" w:sz="0" w:space="0" w:color="auto"/>
                <w:left w:val="none" w:sz="0" w:space="0" w:color="auto"/>
                <w:bottom w:val="none" w:sz="0" w:space="0" w:color="auto"/>
                <w:right w:val="none" w:sz="0" w:space="0" w:color="auto"/>
              </w:divBdr>
              <w:divsChild>
                <w:div w:id="1776440240">
                  <w:marLeft w:val="0"/>
                  <w:marRight w:val="0"/>
                  <w:marTop w:val="0"/>
                  <w:marBottom w:val="0"/>
                  <w:divBdr>
                    <w:top w:val="none" w:sz="0" w:space="0" w:color="auto"/>
                    <w:left w:val="none" w:sz="0" w:space="0" w:color="auto"/>
                    <w:bottom w:val="none" w:sz="0" w:space="0" w:color="auto"/>
                    <w:right w:val="none" w:sz="0" w:space="0" w:color="auto"/>
                  </w:divBdr>
                </w:div>
              </w:divsChild>
            </w:div>
            <w:div w:id="1989089084">
              <w:marLeft w:val="0"/>
              <w:marRight w:val="0"/>
              <w:marTop w:val="0"/>
              <w:marBottom w:val="0"/>
              <w:divBdr>
                <w:top w:val="none" w:sz="0" w:space="0" w:color="auto"/>
                <w:left w:val="none" w:sz="0" w:space="0" w:color="auto"/>
                <w:bottom w:val="none" w:sz="0" w:space="0" w:color="auto"/>
                <w:right w:val="none" w:sz="0" w:space="0" w:color="auto"/>
              </w:divBdr>
              <w:divsChild>
                <w:div w:id="863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9692">
      <w:bodyDiv w:val="1"/>
      <w:marLeft w:val="0"/>
      <w:marRight w:val="0"/>
      <w:marTop w:val="0"/>
      <w:marBottom w:val="0"/>
      <w:divBdr>
        <w:top w:val="none" w:sz="0" w:space="0" w:color="auto"/>
        <w:left w:val="none" w:sz="0" w:space="0" w:color="auto"/>
        <w:bottom w:val="none" w:sz="0" w:space="0" w:color="auto"/>
        <w:right w:val="none" w:sz="0" w:space="0" w:color="auto"/>
      </w:divBdr>
    </w:div>
    <w:div w:id="1067849102">
      <w:bodyDiv w:val="1"/>
      <w:marLeft w:val="0"/>
      <w:marRight w:val="0"/>
      <w:marTop w:val="0"/>
      <w:marBottom w:val="0"/>
      <w:divBdr>
        <w:top w:val="none" w:sz="0" w:space="0" w:color="auto"/>
        <w:left w:val="none" w:sz="0" w:space="0" w:color="auto"/>
        <w:bottom w:val="none" w:sz="0" w:space="0" w:color="auto"/>
        <w:right w:val="none" w:sz="0" w:space="0" w:color="auto"/>
      </w:divBdr>
      <w:divsChild>
        <w:div w:id="1602252432">
          <w:marLeft w:val="0"/>
          <w:marRight w:val="0"/>
          <w:marTop w:val="0"/>
          <w:marBottom w:val="0"/>
          <w:divBdr>
            <w:top w:val="none" w:sz="0" w:space="0" w:color="auto"/>
            <w:left w:val="none" w:sz="0" w:space="0" w:color="auto"/>
            <w:bottom w:val="none" w:sz="0" w:space="0" w:color="auto"/>
            <w:right w:val="none" w:sz="0" w:space="0" w:color="auto"/>
          </w:divBdr>
          <w:divsChild>
            <w:div w:id="532422901">
              <w:marLeft w:val="0"/>
              <w:marRight w:val="0"/>
              <w:marTop w:val="0"/>
              <w:marBottom w:val="0"/>
              <w:divBdr>
                <w:top w:val="none" w:sz="0" w:space="0" w:color="auto"/>
                <w:left w:val="none" w:sz="0" w:space="0" w:color="auto"/>
                <w:bottom w:val="none" w:sz="0" w:space="0" w:color="auto"/>
                <w:right w:val="none" w:sz="0" w:space="0" w:color="auto"/>
              </w:divBdr>
              <w:divsChild>
                <w:div w:id="20201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7302">
      <w:bodyDiv w:val="1"/>
      <w:marLeft w:val="0"/>
      <w:marRight w:val="0"/>
      <w:marTop w:val="0"/>
      <w:marBottom w:val="0"/>
      <w:divBdr>
        <w:top w:val="none" w:sz="0" w:space="0" w:color="auto"/>
        <w:left w:val="none" w:sz="0" w:space="0" w:color="auto"/>
        <w:bottom w:val="none" w:sz="0" w:space="0" w:color="auto"/>
        <w:right w:val="none" w:sz="0" w:space="0" w:color="auto"/>
      </w:divBdr>
      <w:divsChild>
        <w:div w:id="1107428794">
          <w:marLeft w:val="0"/>
          <w:marRight w:val="0"/>
          <w:marTop w:val="0"/>
          <w:marBottom w:val="0"/>
          <w:divBdr>
            <w:top w:val="none" w:sz="0" w:space="0" w:color="auto"/>
            <w:left w:val="none" w:sz="0" w:space="0" w:color="auto"/>
            <w:bottom w:val="none" w:sz="0" w:space="0" w:color="auto"/>
            <w:right w:val="none" w:sz="0" w:space="0" w:color="auto"/>
          </w:divBdr>
          <w:divsChild>
            <w:div w:id="420444864">
              <w:marLeft w:val="0"/>
              <w:marRight w:val="0"/>
              <w:marTop w:val="0"/>
              <w:marBottom w:val="0"/>
              <w:divBdr>
                <w:top w:val="none" w:sz="0" w:space="0" w:color="auto"/>
                <w:left w:val="none" w:sz="0" w:space="0" w:color="auto"/>
                <w:bottom w:val="none" w:sz="0" w:space="0" w:color="auto"/>
                <w:right w:val="none" w:sz="0" w:space="0" w:color="auto"/>
              </w:divBdr>
              <w:divsChild>
                <w:div w:id="1499422414">
                  <w:marLeft w:val="0"/>
                  <w:marRight w:val="0"/>
                  <w:marTop w:val="0"/>
                  <w:marBottom w:val="0"/>
                  <w:divBdr>
                    <w:top w:val="none" w:sz="0" w:space="0" w:color="auto"/>
                    <w:left w:val="none" w:sz="0" w:space="0" w:color="auto"/>
                    <w:bottom w:val="none" w:sz="0" w:space="0" w:color="auto"/>
                    <w:right w:val="none" w:sz="0" w:space="0" w:color="auto"/>
                  </w:divBdr>
                  <w:divsChild>
                    <w:div w:id="146276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7114">
      <w:bodyDiv w:val="1"/>
      <w:marLeft w:val="0"/>
      <w:marRight w:val="0"/>
      <w:marTop w:val="0"/>
      <w:marBottom w:val="0"/>
      <w:divBdr>
        <w:top w:val="none" w:sz="0" w:space="0" w:color="auto"/>
        <w:left w:val="none" w:sz="0" w:space="0" w:color="auto"/>
        <w:bottom w:val="none" w:sz="0" w:space="0" w:color="auto"/>
        <w:right w:val="none" w:sz="0" w:space="0" w:color="auto"/>
      </w:divBdr>
      <w:divsChild>
        <w:div w:id="132064143">
          <w:marLeft w:val="0"/>
          <w:marRight w:val="0"/>
          <w:marTop w:val="0"/>
          <w:marBottom w:val="0"/>
          <w:divBdr>
            <w:top w:val="none" w:sz="0" w:space="0" w:color="auto"/>
            <w:left w:val="none" w:sz="0" w:space="0" w:color="auto"/>
            <w:bottom w:val="none" w:sz="0" w:space="0" w:color="auto"/>
            <w:right w:val="none" w:sz="0" w:space="0" w:color="auto"/>
          </w:divBdr>
          <w:divsChild>
            <w:div w:id="1786273486">
              <w:marLeft w:val="0"/>
              <w:marRight w:val="0"/>
              <w:marTop w:val="0"/>
              <w:marBottom w:val="0"/>
              <w:divBdr>
                <w:top w:val="none" w:sz="0" w:space="0" w:color="auto"/>
                <w:left w:val="none" w:sz="0" w:space="0" w:color="auto"/>
                <w:bottom w:val="none" w:sz="0" w:space="0" w:color="auto"/>
                <w:right w:val="none" w:sz="0" w:space="0" w:color="auto"/>
              </w:divBdr>
              <w:divsChild>
                <w:div w:id="1889217722">
                  <w:marLeft w:val="0"/>
                  <w:marRight w:val="0"/>
                  <w:marTop w:val="0"/>
                  <w:marBottom w:val="0"/>
                  <w:divBdr>
                    <w:top w:val="none" w:sz="0" w:space="0" w:color="auto"/>
                    <w:left w:val="none" w:sz="0" w:space="0" w:color="auto"/>
                    <w:bottom w:val="none" w:sz="0" w:space="0" w:color="auto"/>
                    <w:right w:val="none" w:sz="0" w:space="0" w:color="auto"/>
                  </w:divBdr>
                </w:div>
              </w:divsChild>
            </w:div>
            <w:div w:id="798307338">
              <w:marLeft w:val="0"/>
              <w:marRight w:val="0"/>
              <w:marTop w:val="0"/>
              <w:marBottom w:val="0"/>
              <w:divBdr>
                <w:top w:val="none" w:sz="0" w:space="0" w:color="auto"/>
                <w:left w:val="none" w:sz="0" w:space="0" w:color="auto"/>
                <w:bottom w:val="none" w:sz="0" w:space="0" w:color="auto"/>
                <w:right w:val="none" w:sz="0" w:space="0" w:color="auto"/>
              </w:divBdr>
              <w:divsChild>
                <w:div w:id="391929086">
                  <w:marLeft w:val="0"/>
                  <w:marRight w:val="0"/>
                  <w:marTop w:val="0"/>
                  <w:marBottom w:val="0"/>
                  <w:divBdr>
                    <w:top w:val="none" w:sz="0" w:space="0" w:color="auto"/>
                    <w:left w:val="none" w:sz="0" w:space="0" w:color="auto"/>
                    <w:bottom w:val="none" w:sz="0" w:space="0" w:color="auto"/>
                    <w:right w:val="none" w:sz="0" w:space="0" w:color="auto"/>
                  </w:divBdr>
                </w:div>
              </w:divsChild>
            </w:div>
            <w:div w:id="1578511809">
              <w:marLeft w:val="0"/>
              <w:marRight w:val="0"/>
              <w:marTop w:val="0"/>
              <w:marBottom w:val="0"/>
              <w:divBdr>
                <w:top w:val="none" w:sz="0" w:space="0" w:color="auto"/>
                <w:left w:val="none" w:sz="0" w:space="0" w:color="auto"/>
                <w:bottom w:val="none" w:sz="0" w:space="0" w:color="auto"/>
                <w:right w:val="none" w:sz="0" w:space="0" w:color="auto"/>
              </w:divBdr>
              <w:divsChild>
                <w:div w:id="99376944">
                  <w:marLeft w:val="0"/>
                  <w:marRight w:val="0"/>
                  <w:marTop w:val="0"/>
                  <w:marBottom w:val="0"/>
                  <w:divBdr>
                    <w:top w:val="none" w:sz="0" w:space="0" w:color="auto"/>
                    <w:left w:val="none" w:sz="0" w:space="0" w:color="auto"/>
                    <w:bottom w:val="none" w:sz="0" w:space="0" w:color="auto"/>
                    <w:right w:val="none" w:sz="0" w:space="0" w:color="auto"/>
                  </w:divBdr>
                </w:div>
              </w:divsChild>
            </w:div>
            <w:div w:id="1284388091">
              <w:marLeft w:val="0"/>
              <w:marRight w:val="0"/>
              <w:marTop w:val="0"/>
              <w:marBottom w:val="0"/>
              <w:divBdr>
                <w:top w:val="none" w:sz="0" w:space="0" w:color="auto"/>
                <w:left w:val="none" w:sz="0" w:space="0" w:color="auto"/>
                <w:bottom w:val="none" w:sz="0" w:space="0" w:color="auto"/>
                <w:right w:val="none" w:sz="0" w:space="0" w:color="auto"/>
              </w:divBdr>
              <w:divsChild>
                <w:div w:id="21329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1807">
      <w:bodyDiv w:val="1"/>
      <w:marLeft w:val="0"/>
      <w:marRight w:val="0"/>
      <w:marTop w:val="0"/>
      <w:marBottom w:val="0"/>
      <w:divBdr>
        <w:top w:val="none" w:sz="0" w:space="0" w:color="auto"/>
        <w:left w:val="none" w:sz="0" w:space="0" w:color="auto"/>
        <w:bottom w:val="none" w:sz="0" w:space="0" w:color="auto"/>
        <w:right w:val="none" w:sz="0" w:space="0" w:color="auto"/>
      </w:divBdr>
    </w:div>
    <w:div w:id="1208756556">
      <w:bodyDiv w:val="1"/>
      <w:marLeft w:val="0"/>
      <w:marRight w:val="0"/>
      <w:marTop w:val="0"/>
      <w:marBottom w:val="0"/>
      <w:divBdr>
        <w:top w:val="none" w:sz="0" w:space="0" w:color="auto"/>
        <w:left w:val="none" w:sz="0" w:space="0" w:color="auto"/>
        <w:bottom w:val="none" w:sz="0" w:space="0" w:color="auto"/>
        <w:right w:val="none" w:sz="0" w:space="0" w:color="auto"/>
      </w:divBdr>
      <w:divsChild>
        <w:div w:id="1702592159">
          <w:marLeft w:val="0"/>
          <w:marRight w:val="0"/>
          <w:marTop w:val="0"/>
          <w:marBottom w:val="0"/>
          <w:divBdr>
            <w:top w:val="none" w:sz="0" w:space="0" w:color="auto"/>
            <w:left w:val="none" w:sz="0" w:space="0" w:color="auto"/>
            <w:bottom w:val="none" w:sz="0" w:space="0" w:color="auto"/>
            <w:right w:val="none" w:sz="0" w:space="0" w:color="auto"/>
          </w:divBdr>
          <w:divsChild>
            <w:div w:id="1021855830">
              <w:marLeft w:val="0"/>
              <w:marRight w:val="0"/>
              <w:marTop w:val="0"/>
              <w:marBottom w:val="0"/>
              <w:divBdr>
                <w:top w:val="none" w:sz="0" w:space="0" w:color="auto"/>
                <w:left w:val="none" w:sz="0" w:space="0" w:color="auto"/>
                <w:bottom w:val="none" w:sz="0" w:space="0" w:color="auto"/>
                <w:right w:val="none" w:sz="0" w:space="0" w:color="auto"/>
              </w:divBdr>
              <w:divsChild>
                <w:div w:id="722757424">
                  <w:marLeft w:val="0"/>
                  <w:marRight w:val="0"/>
                  <w:marTop w:val="0"/>
                  <w:marBottom w:val="0"/>
                  <w:divBdr>
                    <w:top w:val="none" w:sz="0" w:space="0" w:color="auto"/>
                    <w:left w:val="none" w:sz="0" w:space="0" w:color="auto"/>
                    <w:bottom w:val="none" w:sz="0" w:space="0" w:color="auto"/>
                    <w:right w:val="none" w:sz="0" w:space="0" w:color="auto"/>
                  </w:divBdr>
                </w:div>
              </w:divsChild>
            </w:div>
            <w:div w:id="1990160815">
              <w:marLeft w:val="0"/>
              <w:marRight w:val="0"/>
              <w:marTop w:val="0"/>
              <w:marBottom w:val="0"/>
              <w:divBdr>
                <w:top w:val="none" w:sz="0" w:space="0" w:color="auto"/>
                <w:left w:val="none" w:sz="0" w:space="0" w:color="auto"/>
                <w:bottom w:val="none" w:sz="0" w:space="0" w:color="auto"/>
                <w:right w:val="none" w:sz="0" w:space="0" w:color="auto"/>
              </w:divBdr>
              <w:divsChild>
                <w:div w:id="4670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12918">
      <w:bodyDiv w:val="1"/>
      <w:marLeft w:val="0"/>
      <w:marRight w:val="0"/>
      <w:marTop w:val="0"/>
      <w:marBottom w:val="0"/>
      <w:divBdr>
        <w:top w:val="none" w:sz="0" w:space="0" w:color="auto"/>
        <w:left w:val="none" w:sz="0" w:space="0" w:color="auto"/>
        <w:bottom w:val="none" w:sz="0" w:space="0" w:color="auto"/>
        <w:right w:val="none" w:sz="0" w:space="0" w:color="auto"/>
      </w:divBdr>
    </w:div>
    <w:div w:id="1259564275">
      <w:bodyDiv w:val="1"/>
      <w:marLeft w:val="0"/>
      <w:marRight w:val="0"/>
      <w:marTop w:val="0"/>
      <w:marBottom w:val="0"/>
      <w:divBdr>
        <w:top w:val="none" w:sz="0" w:space="0" w:color="auto"/>
        <w:left w:val="none" w:sz="0" w:space="0" w:color="auto"/>
        <w:bottom w:val="none" w:sz="0" w:space="0" w:color="auto"/>
        <w:right w:val="none" w:sz="0" w:space="0" w:color="auto"/>
      </w:divBdr>
      <w:divsChild>
        <w:div w:id="827868036">
          <w:marLeft w:val="0"/>
          <w:marRight w:val="0"/>
          <w:marTop w:val="0"/>
          <w:marBottom w:val="0"/>
          <w:divBdr>
            <w:top w:val="none" w:sz="0" w:space="0" w:color="auto"/>
            <w:left w:val="none" w:sz="0" w:space="0" w:color="auto"/>
            <w:bottom w:val="none" w:sz="0" w:space="0" w:color="auto"/>
            <w:right w:val="none" w:sz="0" w:space="0" w:color="auto"/>
          </w:divBdr>
          <w:divsChild>
            <w:div w:id="896286595">
              <w:marLeft w:val="0"/>
              <w:marRight w:val="0"/>
              <w:marTop w:val="0"/>
              <w:marBottom w:val="0"/>
              <w:divBdr>
                <w:top w:val="none" w:sz="0" w:space="0" w:color="auto"/>
                <w:left w:val="none" w:sz="0" w:space="0" w:color="auto"/>
                <w:bottom w:val="none" w:sz="0" w:space="0" w:color="auto"/>
                <w:right w:val="none" w:sz="0" w:space="0" w:color="auto"/>
              </w:divBdr>
              <w:divsChild>
                <w:div w:id="4577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43164">
      <w:bodyDiv w:val="1"/>
      <w:marLeft w:val="0"/>
      <w:marRight w:val="0"/>
      <w:marTop w:val="0"/>
      <w:marBottom w:val="0"/>
      <w:divBdr>
        <w:top w:val="none" w:sz="0" w:space="0" w:color="auto"/>
        <w:left w:val="none" w:sz="0" w:space="0" w:color="auto"/>
        <w:bottom w:val="none" w:sz="0" w:space="0" w:color="auto"/>
        <w:right w:val="none" w:sz="0" w:space="0" w:color="auto"/>
      </w:divBdr>
    </w:div>
    <w:div w:id="1356424475">
      <w:bodyDiv w:val="1"/>
      <w:marLeft w:val="0"/>
      <w:marRight w:val="0"/>
      <w:marTop w:val="0"/>
      <w:marBottom w:val="0"/>
      <w:divBdr>
        <w:top w:val="none" w:sz="0" w:space="0" w:color="auto"/>
        <w:left w:val="none" w:sz="0" w:space="0" w:color="auto"/>
        <w:bottom w:val="none" w:sz="0" w:space="0" w:color="auto"/>
        <w:right w:val="none" w:sz="0" w:space="0" w:color="auto"/>
      </w:divBdr>
      <w:divsChild>
        <w:div w:id="558828427">
          <w:marLeft w:val="0"/>
          <w:marRight w:val="0"/>
          <w:marTop w:val="0"/>
          <w:marBottom w:val="0"/>
          <w:divBdr>
            <w:top w:val="none" w:sz="0" w:space="0" w:color="auto"/>
            <w:left w:val="none" w:sz="0" w:space="0" w:color="auto"/>
            <w:bottom w:val="none" w:sz="0" w:space="0" w:color="auto"/>
            <w:right w:val="none" w:sz="0" w:space="0" w:color="auto"/>
          </w:divBdr>
          <w:divsChild>
            <w:div w:id="2068601753">
              <w:marLeft w:val="0"/>
              <w:marRight w:val="0"/>
              <w:marTop w:val="0"/>
              <w:marBottom w:val="0"/>
              <w:divBdr>
                <w:top w:val="none" w:sz="0" w:space="0" w:color="auto"/>
                <w:left w:val="none" w:sz="0" w:space="0" w:color="auto"/>
                <w:bottom w:val="none" w:sz="0" w:space="0" w:color="auto"/>
                <w:right w:val="none" w:sz="0" w:space="0" w:color="auto"/>
              </w:divBdr>
              <w:divsChild>
                <w:div w:id="319425393">
                  <w:marLeft w:val="0"/>
                  <w:marRight w:val="0"/>
                  <w:marTop w:val="0"/>
                  <w:marBottom w:val="0"/>
                  <w:divBdr>
                    <w:top w:val="none" w:sz="0" w:space="0" w:color="auto"/>
                    <w:left w:val="none" w:sz="0" w:space="0" w:color="auto"/>
                    <w:bottom w:val="none" w:sz="0" w:space="0" w:color="auto"/>
                    <w:right w:val="none" w:sz="0" w:space="0" w:color="auto"/>
                  </w:divBdr>
                </w:div>
              </w:divsChild>
            </w:div>
            <w:div w:id="116217726">
              <w:marLeft w:val="0"/>
              <w:marRight w:val="0"/>
              <w:marTop w:val="0"/>
              <w:marBottom w:val="0"/>
              <w:divBdr>
                <w:top w:val="none" w:sz="0" w:space="0" w:color="auto"/>
                <w:left w:val="none" w:sz="0" w:space="0" w:color="auto"/>
                <w:bottom w:val="none" w:sz="0" w:space="0" w:color="auto"/>
                <w:right w:val="none" w:sz="0" w:space="0" w:color="auto"/>
              </w:divBdr>
              <w:divsChild>
                <w:div w:id="6143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3235">
      <w:bodyDiv w:val="1"/>
      <w:marLeft w:val="0"/>
      <w:marRight w:val="0"/>
      <w:marTop w:val="0"/>
      <w:marBottom w:val="0"/>
      <w:divBdr>
        <w:top w:val="none" w:sz="0" w:space="0" w:color="auto"/>
        <w:left w:val="none" w:sz="0" w:space="0" w:color="auto"/>
        <w:bottom w:val="none" w:sz="0" w:space="0" w:color="auto"/>
        <w:right w:val="none" w:sz="0" w:space="0" w:color="auto"/>
      </w:divBdr>
    </w:div>
    <w:div w:id="1377777826">
      <w:bodyDiv w:val="1"/>
      <w:marLeft w:val="0"/>
      <w:marRight w:val="0"/>
      <w:marTop w:val="0"/>
      <w:marBottom w:val="0"/>
      <w:divBdr>
        <w:top w:val="none" w:sz="0" w:space="0" w:color="auto"/>
        <w:left w:val="none" w:sz="0" w:space="0" w:color="auto"/>
        <w:bottom w:val="none" w:sz="0" w:space="0" w:color="auto"/>
        <w:right w:val="none" w:sz="0" w:space="0" w:color="auto"/>
      </w:divBdr>
      <w:divsChild>
        <w:div w:id="5137817">
          <w:marLeft w:val="0"/>
          <w:marRight w:val="0"/>
          <w:marTop w:val="0"/>
          <w:marBottom w:val="0"/>
          <w:divBdr>
            <w:top w:val="none" w:sz="0" w:space="0" w:color="auto"/>
            <w:left w:val="none" w:sz="0" w:space="0" w:color="auto"/>
            <w:bottom w:val="none" w:sz="0" w:space="0" w:color="auto"/>
            <w:right w:val="none" w:sz="0" w:space="0" w:color="auto"/>
          </w:divBdr>
          <w:divsChild>
            <w:div w:id="943001361">
              <w:marLeft w:val="0"/>
              <w:marRight w:val="0"/>
              <w:marTop w:val="0"/>
              <w:marBottom w:val="0"/>
              <w:divBdr>
                <w:top w:val="none" w:sz="0" w:space="0" w:color="auto"/>
                <w:left w:val="none" w:sz="0" w:space="0" w:color="auto"/>
                <w:bottom w:val="none" w:sz="0" w:space="0" w:color="auto"/>
                <w:right w:val="none" w:sz="0" w:space="0" w:color="auto"/>
              </w:divBdr>
              <w:divsChild>
                <w:div w:id="3829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0868">
      <w:bodyDiv w:val="1"/>
      <w:marLeft w:val="0"/>
      <w:marRight w:val="0"/>
      <w:marTop w:val="0"/>
      <w:marBottom w:val="0"/>
      <w:divBdr>
        <w:top w:val="none" w:sz="0" w:space="0" w:color="auto"/>
        <w:left w:val="none" w:sz="0" w:space="0" w:color="auto"/>
        <w:bottom w:val="none" w:sz="0" w:space="0" w:color="auto"/>
        <w:right w:val="none" w:sz="0" w:space="0" w:color="auto"/>
      </w:divBdr>
      <w:divsChild>
        <w:div w:id="400949997">
          <w:marLeft w:val="0"/>
          <w:marRight w:val="0"/>
          <w:marTop w:val="0"/>
          <w:marBottom w:val="0"/>
          <w:divBdr>
            <w:top w:val="none" w:sz="0" w:space="0" w:color="auto"/>
            <w:left w:val="none" w:sz="0" w:space="0" w:color="auto"/>
            <w:bottom w:val="none" w:sz="0" w:space="0" w:color="auto"/>
            <w:right w:val="none" w:sz="0" w:space="0" w:color="auto"/>
          </w:divBdr>
          <w:divsChild>
            <w:div w:id="576792389">
              <w:marLeft w:val="0"/>
              <w:marRight w:val="0"/>
              <w:marTop w:val="0"/>
              <w:marBottom w:val="0"/>
              <w:divBdr>
                <w:top w:val="none" w:sz="0" w:space="0" w:color="auto"/>
                <w:left w:val="none" w:sz="0" w:space="0" w:color="auto"/>
                <w:bottom w:val="none" w:sz="0" w:space="0" w:color="auto"/>
                <w:right w:val="none" w:sz="0" w:space="0" w:color="auto"/>
              </w:divBdr>
              <w:divsChild>
                <w:div w:id="7979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740159">
      <w:bodyDiv w:val="1"/>
      <w:marLeft w:val="0"/>
      <w:marRight w:val="0"/>
      <w:marTop w:val="0"/>
      <w:marBottom w:val="0"/>
      <w:divBdr>
        <w:top w:val="none" w:sz="0" w:space="0" w:color="auto"/>
        <w:left w:val="none" w:sz="0" w:space="0" w:color="auto"/>
        <w:bottom w:val="none" w:sz="0" w:space="0" w:color="auto"/>
        <w:right w:val="none" w:sz="0" w:space="0" w:color="auto"/>
      </w:divBdr>
    </w:div>
    <w:div w:id="1398700049">
      <w:bodyDiv w:val="1"/>
      <w:marLeft w:val="0"/>
      <w:marRight w:val="0"/>
      <w:marTop w:val="0"/>
      <w:marBottom w:val="0"/>
      <w:divBdr>
        <w:top w:val="none" w:sz="0" w:space="0" w:color="auto"/>
        <w:left w:val="none" w:sz="0" w:space="0" w:color="auto"/>
        <w:bottom w:val="none" w:sz="0" w:space="0" w:color="auto"/>
        <w:right w:val="none" w:sz="0" w:space="0" w:color="auto"/>
      </w:divBdr>
    </w:div>
    <w:div w:id="1492019166">
      <w:bodyDiv w:val="1"/>
      <w:marLeft w:val="0"/>
      <w:marRight w:val="0"/>
      <w:marTop w:val="0"/>
      <w:marBottom w:val="0"/>
      <w:divBdr>
        <w:top w:val="none" w:sz="0" w:space="0" w:color="auto"/>
        <w:left w:val="none" w:sz="0" w:space="0" w:color="auto"/>
        <w:bottom w:val="none" w:sz="0" w:space="0" w:color="auto"/>
        <w:right w:val="none" w:sz="0" w:space="0" w:color="auto"/>
      </w:divBdr>
      <w:divsChild>
        <w:div w:id="163673048">
          <w:marLeft w:val="0"/>
          <w:marRight w:val="0"/>
          <w:marTop w:val="0"/>
          <w:marBottom w:val="0"/>
          <w:divBdr>
            <w:top w:val="none" w:sz="0" w:space="0" w:color="auto"/>
            <w:left w:val="none" w:sz="0" w:space="0" w:color="auto"/>
            <w:bottom w:val="none" w:sz="0" w:space="0" w:color="auto"/>
            <w:right w:val="none" w:sz="0" w:space="0" w:color="auto"/>
          </w:divBdr>
          <w:divsChild>
            <w:div w:id="832262350">
              <w:marLeft w:val="0"/>
              <w:marRight w:val="0"/>
              <w:marTop w:val="0"/>
              <w:marBottom w:val="0"/>
              <w:divBdr>
                <w:top w:val="none" w:sz="0" w:space="0" w:color="auto"/>
                <w:left w:val="none" w:sz="0" w:space="0" w:color="auto"/>
                <w:bottom w:val="none" w:sz="0" w:space="0" w:color="auto"/>
                <w:right w:val="none" w:sz="0" w:space="0" w:color="auto"/>
              </w:divBdr>
              <w:divsChild>
                <w:div w:id="509180908">
                  <w:marLeft w:val="0"/>
                  <w:marRight w:val="0"/>
                  <w:marTop w:val="0"/>
                  <w:marBottom w:val="0"/>
                  <w:divBdr>
                    <w:top w:val="none" w:sz="0" w:space="0" w:color="auto"/>
                    <w:left w:val="none" w:sz="0" w:space="0" w:color="auto"/>
                    <w:bottom w:val="none" w:sz="0" w:space="0" w:color="auto"/>
                    <w:right w:val="none" w:sz="0" w:space="0" w:color="auto"/>
                  </w:divBdr>
                  <w:divsChild>
                    <w:div w:id="11241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86675">
      <w:bodyDiv w:val="1"/>
      <w:marLeft w:val="0"/>
      <w:marRight w:val="0"/>
      <w:marTop w:val="0"/>
      <w:marBottom w:val="0"/>
      <w:divBdr>
        <w:top w:val="none" w:sz="0" w:space="0" w:color="auto"/>
        <w:left w:val="none" w:sz="0" w:space="0" w:color="auto"/>
        <w:bottom w:val="none" w:sz="0" w:space="0" w:color="auto"/>
        <w:right w:val="none" w:sz="0" w:space="0" w:color="auto"/>
      </w:divBdr>
      <w:divsChild>
        <w:div w:id="409545727">
          <w:marLeft w:val="0"/>
          <w:marRight w:val="0"/>
          <w:marTop w:val="0"/>
          <w:marBottom w:val="0"/>
          <w:divBdr>
            <w:top w:val="none" w:sz="0" w:space="0" w:color="auto"/>
            <w:left w:val="none" w:sz="0" w:space="0" w:color="auto"/>
            <w:bottom w:val="none" w:sz="0" w:space="0" w:color="auto"/>
            <w:right w:val="none" w:sz="0" w:space="0" w:color="auto"/>
          </w:divBdr>
          <w:divsChild>
            <w:div w:id="218329173">
              <w:marLeft w:val="0"/>
              <w:marRight w:val="0"/>
              <w:marTop w:val="0"/>
              <w:marBottom w:val="0"/>
              <w:divBdr>
                <w:top w:val="none" w:sz="0" w:space="0" w:color="auto"/>
                <w:left w:val="none" w:sz="0" w:space="0" w:color="auto"/>
                <w:bottom w:val="none" w:sz="0" w:space="0" w:color="auto"/>
                <w:right w:val="none" w:sz="0" w:space="0" w:color="auto"/>
              </w:divBdr>
              <w:divsChild>
                <w:div w:id="1478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6245">
      <w:bodyDiv w:val="1"/>
      <w:marLeft w:val="0"/>
      <w:marRight w:val="0"/>
      <w:marTop w:val="0"/>
      <w:marBottom w:val="0"/>
      <w:divBdr>
        <w:top w:val="none" w:sz="0" w:space="0" w:color="auto"/>
        <w:left w:val="none" w:sz="0" w:space="0" w:color="auto"/>
        <w:bottom w:val="none" w:sz="0" w:space="0" w:color="auto"/>
        <w:right w:val="none" w:sz="0" w:space="0" w:color="auto"/>
      </w:divBdr>
    </w:div>
    <w:div w:id="1628507750">
      <w:bodyDiv w:val="1"/>
      <w:marLeft w:val="0"/>
      <w:marRight w:val="0"/>
      <w:marTop w:val="0"/>
      <w:marBottom w:val="0"/>
      <w:divBdr>
        <w:top w:val="none" w:sz="0" w:space="0" w:color="auto"/>
        <w:left w:val="none" w:sz="0" w:space="0" w:color="auto"/>
        <w:bottom w:val="none" w:sz="0" w:space="0" w:color="auto"/>
        <w:right w:val="none" w:sz="0" w:space="0" w:color="auto"/>
      </w:divBdr>
      <w:divsChild>
        <w:div w:id="295523610">
          <w:marLeft w:val="0"/>
          <w:marRight w:val="0"/>
          <w:marTop w:val="0"/>
          <w:marBottom w:val="0"/>
          <w:divBdr>
            <w:top w:val="none" w:sz="0" w:space="0" w:color="auto"/>
            <w:left w:val="none" w:sz="0" w:space="0" w:color="auto"/>
            <w:bottom w:val="none" w:sz="0" w:space="0" w:color="auto"/>
            <w:right w:val="none" w:sz="0" w:space="0" w:color="auto"/>
          </w:divBdr>
          <w:divsChild>
            <w:div w:id="1171796729">
              <w:marLeft w:val="0"/>
              <w:marRight w:val="0"/>
              <w:marTop w:val="0"/>
              <w:marBottom w:val="0"/>
              <w:divBdr>
                <w:top w:val="none" w:sz="0" w:space="0" w:color="auto"/>
                <w:left w:val="none" w:sz="0" w:space="0" w:color="auto"/>
                <w:bottom w:val="none" w:sz="0" w:space="0" w:color="auto"/>
                <w:right w:val="none" w:sz="0" w:space="0" w:color="auto"/>
              </w:divBdr>
              <w:divsChild>
                <w:div w:id="1544096036">
                  <w:marLeft w:val="0"/>
                  <w:marRight w:val="0"/>
                  <w:marTop w:val="0"/>
                  <w:marBottom w:val="0"/>
                  <w:divBdr>
                    <w:top w:val="none" w:sz="0" w:space="0" w:color="auto"/>
                    <w:left w:val="none" w:sz="0" w:space="0" w:color="auto"/>
                    <w:bottom w:val="none" w:sz="0" w:space="0" w:color="auto"/>
                    <w:right w:val="none" w:sz="0" w:space="0" w:color="auto"/>
                  </w:divBdr>
                </w:div>
              </w:divsChild>
            </w:div>
            <w:div w:id="237132552">
              <w:marLeft w:val="0"/>
              <w:marRight w:val="0"/>
              <w:marTop w:val="0"/>
              <w:marBottom w:val="0"/>
              <w:divBdr>
                <w:top w:val="none" w:sz="0" w:space="0" w:color="auto"/>
                <w:left w:val="none" w:sz="0" w:space="0" w:color="auto"/>
                <w:bottom w:val="none" w:sz="0" w:space="0" w:color="auto"/>
                <w:right w:val="none" w:sz="0" w:space="0" w:color="auto"/>
              </w:divBdr>
              <w:divsChild>
                <w:div w:id="480314545">
                  <w:marLeft w:val="0"/>
                  <w:marRight w:val="0"/>
                  <w:marTop w:val="0"/>
                  <w:marBottom w:val="0"/>
                  <w:divBdr>
                    <w:top w:val="none" w:sz="0" w:space="0" w:color="auto"/>
                    <w:left w:val="none" w:sz="0" w:space="0" w:color="auto"/>
                    <w:bottom w:val="none" w:sz="0" w:space="0" w:color="auto"/>
                    <w:right w:val="none" w:sz="0" w:space="0" w:color="auto"/>
                  </w:divBdr>
                </w:div>
              </w:divsChild>
            </w:div>
            <w:div w:id="263077849">
              <w:marLeft w:val="0"/>
              <w:marRight w:val="0"/>
              <w:marTop w:val="0"/>
              <w:marBottom w:val="0"/>
              <w:divBdr>
                <w:top w:val="none" w:sz="0" w:space="0" w:color="auto"/>
                <w:left w:val="none" w:sz="0" w:space="0" w:color="auto"/>
                <w:bottom w:val="none" w:sz="0" w:space="0" w:color="auto"/>
                <w:right w:val="none" w:sz="0" w:space="0" w:color="auto"/>
              </w:divBdr>
              <w:divsChild>
                <w:div w:id="16940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13878">
      <w:bodyDiv w:val="1"/>
      <w:marLeft w:val="0"/>
      <w:marRight w:val="0"/>
      <w:marTop w:val="0"/>
      <w:marBottom w:val="0"/>
      <w:divBdr>
        <w:top w:val="none" w:sz="0" w:space="0" w:color="auto"/>
        <w:left w:val="none" w:sz="0" w:space="0" w:color="auto"/>
        <w:bottom w:val="none" w:sz="0" w:space="0" w:color="auto"/>
        <w:right w:val="none" w:sz="0" w:space="0" w:color="auto"/>
      </w:divBdr>
    </w:div>
    <w:div w:id="1680499770">
      <w:bodyDiv w:val="1"/>
      <w:marLeft w:val="0"/>
      <w:marRight w:val="0"/>
      <w:marTop w:val="0"/>
      <w:marBottom w:val="0"/>
      <w:divBdr>
        <w:top w:val="none" w:sz="0" w:space="0" w:color="auto"/>
        <w:left w:val="none" w:sz="0" w:space="0" w:color="auto"/>
        <w:bottom w:val="none" w:sz="0" w:space="0" w:color="auto"/>
        <w:right w:val="none" w:sz="0" w:space="0" w:color="auto"/>
      </w:divBdr>
    </w:div>
    <w:div w:id="1731533958">
      <w:bodyDiv w:val="1"/>
      <w:marLeft w:val="0"/>
      <w:marRight w:val="0"/>
      <w:marTop w:val="0"/>
      <w:marBottom w:val="0"/>
      <w:divBdr>
        <w:top w:val="none" w:sz="0" w:space="0" w:color="auto"/>
        <w:left w:val="none" w:sz="0" w:space="0" w:color="auto"/>
        <w:bottom w:val="none" w:sz="0" w:space="0" w:color="auto"/>
        <w:right w:val="none" w:sz="0" w:space="0" w:color="auto"/>
      </w:divBdr>
    </w:div>
    <w:div w:id="1737242108">
      <w:bodyDiv w:val="1"/>
      <w:marLeft w:val="0"/>
      <w:marRight w:val="0"/>
      <w:marTop w:val="0"/>
      <w:marBottom w:val="0"/>
      <w:divBdr>
        <w:top w:val="none" w:sz="0" w:space="0" w:color="auto"/>
        <w:left w:val="none" w:sz="0" w:space="0" w:color="auto"/>
        <w:bottom w:val="none" w:sz="0" w:space="0" w:color="auto"/>
        <w:right w:val="none" w:sz="0" w:space="0" w:color="auto"/>
      </w:divBdr>
    </w:div>
    <w:div w:id="1772433164">
      <w:bodyDiv w:val="1"/>
      <w:marLeft w:val="0"/>
      <w:marRight w:val="0"/>
      <w:marTop w:val="0"/>
      <w:marBottom w:val="0"/>
      <w:divBdr>
        <w:top w:val="none" w:sz="0" w:space="0" w:color="auto"/>
        <w:left w:val="none" w:sz="0" w:space="0" w:color="auto"/>
        <w:bottom w:val="none" w:sz="0" w:space="0" w:color="auto"/>
        <w:right w:val="none" w:sz="0" w:space="0" w:color="auto"/>
      </w:divBdr>
    </w:div>
    <w:div w:id="1808234617">
      <w:bodyDiv w:val="1"/>
      <w:marLeft w:val="0"/>
      <w:marRight w:val="0"/>
      <w:marTop w:val="0"/>
      <w:marBottom w:val="0"/>
      <w:divBdr>
        <w:top w:val="none" w:sz="0" w:space="0" w:color="auto"/>
        <w:left w:val="none" w:sz="0" w:space="0" w:color="auto"/>
        <w:bottom w:val="none" w:sz="0" w:space="0" w:color="auto"/>
        <w:right w:val="none" w:sz="0" w:space="0" w:color="auto"/>
      </w:divBdr>
    </w:div>
    <w:div w:id="1814710511">
      <w:bodyDiv w:val="1"/>
      <w:marLeft w:val="0"/>
      <w:marRight w:val="0"/>
      <w:marTop w:val="0"/>
      <w:marBottom w:val="0"/>
      <w:divBdr>
        <w:top w:val="none" w:sz="0" w:space="0" w:color="auto"/>
        <w:left w:val="none" w:sz="0" w:space="0" w:color="auto"/>
        <w:bottom w:val="none" w:sz="0" w:space="0" w:color="auto"/>
        <w:right w:val="none" w:sz="0" w:space="0" w:color="auto"/>
      </w:divBdr>
      <w:divsChild>
        <w:div w:id="862592091">
          <w:marLeft w:val="0"/>
          <w:marRight w:val="0"/>
          <w:marTop w:val="0"/>
          <w:marBottom w:val="0"/>
          <w:divBdr>
            <w:top w:val="none" w:sz="0" w:space="0" w:color="auto"/>
            <w:left w:val="none" w:sz="0" w:space="0" w:color="auto"/>
            <w:bottom w:val="none" w:sz="0" w:space="0" w:color="auto"/>
            <w:right w:val="none" w:sz="0" w:space="0" w:color="auto"/>
          </w:divBdr>
          <w:divsChild>
            <w:div w:id="621110450">
              <w:marLeft w:val="0"/>
              <w:marRight w:val="0"/>
              <w:marTop w:val="0"/>
              <w:marBottom w:val="0"/>
              <w:divBdr>
                <w:top w:val="none" w:sz="0" w:space="0" w:color="auto"/>
                <w:left w:val="none" w:sz="0" w:space="0" w:color="auto"/>
                <w:bottom w:val="none" w:sz="0" w:space="0" w:color="auto"/>
                <w:right w:val="none" w:sz="0" w:space="0" w:color="auto"/>
              </w:divBdr>
              <w:divsChild>
                <w:div w:id="1633245431">
                  <w:marLeft w:val="0"/>
                  <w:marRight w:val="0"/>
                  <w:marTop w:val="0"/>
                  <w:marBottom w:val="0"/>
                  <w:divBdr>
                    <w:top w:val="none" w:sz="0" w:space="0" w:color="auto"/>
                    <w:left w:val="none" w:sz="0" w:space="0" w:color="auto"/>
                    <w:bottom w:val="none" w:sz="0" w:space="0" w:color="auto"/>
                    <w:right w:val="none" w:sz="0" w:space="0" w:color="auto"/>
                  </w:divBdr>
                  <w:divsChild>
                    <w:div w:id="5762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48227">
      <w:bodyDiv w:val="1"/>
      <w:marLeft w:val="0"/>
      <w:marRight w:val="0"/>
      <w:marTop w:val="0"/>
      <w:marBottom w:val="0"/>
      <w:divBdr>
        <w:top w:val="none" w:sz="0" w:space="0" w:color="auto"/>
        <w:left w:val="none" w:sz="0" w:space="0" w:color="auto"/>
        <w:bottom w:val="none" w:sz="0" w:space="0" w:color="auto"/>
        <w:right w:val="none" w:sz="0" w:space="0" w:color="auto"/>
      </w:divBdr>
      <w:divsChild>
        <w:div w:id="1682393446">
          <w:marLeft w:val="0"/>
          <w:marRight w:val="0"/>
          <w:marTop w:val="0"/>
          <w:marBottom w:val="0"/>
          <w:divBdr>
            <w:top w:val="none" w:sz="0" w:space="0" w:color="auto"/>
            <w:left w:val="none" w:sz="0" w:space="0" w:color="auto"/>
            <w:bottom w:val="none" w:sz="0" w:space="0" w:color="auto"/>
            <w:right w:val="none" w:sz="0" w:space="0" w:color="auto"/>
          </w:divBdr>
          <w:divsChild>
            <w:div w:id="714235279">
              <w:marLeft w:val="0"/>
              <w:marRight w:val="0"/>
              <w:marTop w:val="0"/>
              <w:marBottom w:val="0"/>
              <w:divBdr>
                <w:top w:val="none" w:sz="0" w:space="0" w:color="auto"/>
                <w:left w:val="none" w:sz="0" w:space="0" w:color="auto"/>
                <w:bottom w:val="none" w:sz="0" w:space="0" w:color="auto"/>
                <w:right w:val="none" w:sz="0" w:space="0" w:color="auto"/>
              </w:divBdr>
              <w:divsChild>
                <w:div w:id="7782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11975">
      <w:bodyDiv w:val="1"/>
      <w:marLeft w:val="0"/>
      <w:marRight w:val="0"/>
      <w:marTop w:val="0"/>
      <w:marBottom w:val="0"/>
      <w:divBdr>
        <w:top w:val="none" w:sz="0" w:space="0" w:color="auto"/>
        <w:left w:val="none" w:sz="0" w:space="0" w:color="auto"/>
        <w:bottom w:val="none" w:sz="0" w:space="0" w:color="auto"/>
        <w:right w:val="none" w:sz="0" w:space="0" w:color="auto"/>
      </w:divBdr>
    </w:div>
    <w:div w:id="1940864625">
      <w:bodyDiv w:val="1"/>
      <w:marLeft w:val="0"/>
      <w:marRight w:val="0"/>
      <w:marTop w:val="0"/>
      <w:marBottom w:val="0"/>
      <w:divBdr>
        <w:top w:val="none" w:sz="0" w:space="0" w:color="auto"/>
        <w:left w:val="none" w:sz="0" w:space="0" w:color="auto"/>
        <w:bottom w:val="none" w:sz="0" w:space="0" w:color="auto"/>
        <w:right w:val="none" w:sz="0" w:space="0" w:color="auto"/>
      </w:divBdr>
    </w:div>
    <w:div w:id="2055347797">
      <w:bodyDiv w:val="1"/>
      <w:marLeft w:val="0"/>
      <w:marRight w:val="0"/>
      <w:marTop w:val="0"/>
      <w:marBottom w:val="0"/>
      <w:divBdr>
        <w:top w:val="none" w:sz="0" w:space="0" w:color="auto"/>
        <w:left w:val="none" w:sz="0" w:space="0" w:color="auto"/>
        <w:bottom w:val="none" w:sz="0" w:space="0" w:color="auto"/>
        <w:right w:val="none" w:sz="0" w:space="0" w:color="auto"/>
      </w:divBdr>
      <w:divsChild>
        <w:div w:id="1904295340">
          <w:marLeft w:val="0"/>
          <w:marRight w:val="0"/>
          <w:marTop w:val="0"/>
          <w:marBottom w:val="0"/>
          <w:divBdr>
            <w:top w:val="none" w:sz="0" w:space="0" w:color="auto"/>
            <w:left w:val="none" w:sz="0" w:space="0" w:color="auto"/>
            <w:bottom w:val="none" w:sz="0" w:space="0" w:color="auto"/>
            <w:right w:val="none" w:sz="0" w:space="0" w:color="auto"/>
          </w:divBdr>
          <w:divsChild>
            <w:div w:id="1984774902">
              <w:marLeft w:val="0"/>
              <w:marRight w:val="0"/>
              <w:marTop w:val="0"/>
              <w:marBottom w:val="0"/>
              <w:divBdr>
                <w:top w:val="none" w:sz="0" w:space="0" w:color="auto"/>
                <w:left w:val="none" w:sz="0" w:space="0" w:color="auto"/>
                <w:bottom w:val="none" w:sz="0" w:space="0" w:color="auto"/>
                <w:right w:val="none" w:sz="0" w:space="0" w:color="auto"/>
              </w:divBdr>
              <w:divsChild>
                <w:div w:id="19345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43512">
      <w:bodyDiv w:val="1"/>
      <w:marLeft w:val="0"/>
      <w:marRight w:val="0"/>
      <w:marTop w:val="0"/>
      <w:marBottom w:val="0"/>
      <w:divBdr>
        <w:top w:val="none" w:sz="0" w:space="0" w:color="auto"/>
        <w:left w:val="none" w:sz="0" w:space="0" w:color="auto"/>
        <w:bottom w:val="none" w:sz="0" w:space="0" w:color="auto"/>
        <w:right w:val="none" w:sz="0" w:space="0" w:color="auto"/>
      </w:divBdr>
      <w:divsChild>
        <w:div w:id="1946496153">
          <w:marLeft w:val="0"/>
          <w:marRight w:val="0"/>
          <w:marTop w:val="0"/>
          <w:marBottom w:val="0"/>
          <w:divBdr>
            <w:top w:val="none" w:sz="0" w:space="0" w:color="auto"/>
            <w:left w:val="none" w:sz="0" w:space="0" w:color="auto"/>
            <w:bottom w:val="none" w:sz="0" w:space="0" w:color="auto"/>
            <w:right w:val="none" w:sz="0" w:space="0" w:color="auto"/>
          </w:divBdr>
          <w:divsChild>
            <w:div w:id="344551868">
              <w:marLeft w:val="0"/>
              <w:marRight w:val="0"/>
              <w:marTop w:val="0"/>
              <w:marBottom w:val="0"/>
              <w:divBdr>
                <w:top w:val="none" w:sz="0" w:space="0" w:color="auto"/>
                <w:left w:val="none" w:sz="0" w:space="0" w:color="auto"/>
                <w:bottom w:val="none" w:sz="0" w:space="0" w:color="auto"/>
                <w:right w:val="none" w:sz="0" w:space="0" w:color="auto"/>
              </w:divBdr>
              <w:divsChild>
                <w:div w:id="829364693">
                  <w:marLeft w:val="0"/>
                  <w:marRight w:val="0"/>
                  <w:marTop w:val="0"/>
                  <w:marBottom w:val="0"/>
                  <w:divBdr>
                    <w:top w:val="none" w:sz="0" w:space="0" w:color="auto"/>
                    <w:left w:val="none" w:sz="0" w:space="0" w:color="auto"/>
                    <w:bottom w:val="none" w:sz="0" w:space="0" w:color="auto"/>
                    <w:right w:val="none" w:sz="0" w:space="0" w:color="auto"/>
                  </w:divBdr>
                </w:div>
              </w:divsChild>
            </w:div>
            <w:div w:id="1786195301">
              <w:marLeft w:val="0"/>
              <w:marRight w:val="0"/>
              <w:marTop w:val="0"/>
              <w:marBottom w:val="0"/>
              <w:divBdr>
                <w:top w:val="none" w:sz="0" w:space="0" w:color="auto"/>
                <w:left w:val="none" w:sz="0" w:space="0" w:color="auto"/>
                <w:bottom w:val="none" w:sz="0" w:space="0" w:color="auto"/>
                <w:right w:val="none" w:sz="0" w:space="0" w:color="auto"/>
              </w:divBdr>
              <w:divsChild>
                <w:div w:id="1899977810">
                  <w:marLeft w:val="0"/>
                  <w:marRight w:val="0"/>
                  <w:marTop w:val="0"/>
                  <w:marBottom w:val="0"/>
                  <w:divBdr>
                    <w:top w:val="none" w:sz="0" w:space="0" w:color="auto"/>
                    <w:left w:val="none" w:sz="0" w:space="0" w:color="auto"/>
                    <w:bottom w:val="none" w:sz="0" w:space="0" w:color="auto"/>
                    <w:right w:val="none" w:sz="0" w:space="0" w:color="auto"/>
                  </w:divBdr>
                </w:div>
              </w:divsChild>
            </w:div>
            <w:div w:id="1603297913">
              <w:marLeft w:val="0"/>
              <w:marRight w:val="0"/>
              <w:marTop w:val="0"/>
              <w:marBottom w:val="0"/>
              <w:divBdr>
                <w:top w:val="none" w:sz="0" w:space="0" w:color="auto"/>
                <w:left w:val="none" w:sz="0" w:space="0" w:color="auto"/>
                <w:bottom w:val="none" w:sz="0" w:space="0" w:color="auto"/>
                <w:right w:val="none" w:sz="0" w:space="0" w:color="auto"/>
              </w:divBdr>
              <w:divsChild>
                <w:div w:id="10885101">
                  <w:marLeft w:val="0"/>
                  <w:marRight w:val="0"/>
                  <w:marTop w:val="0"/>
                  <w:marBottom w:val="0"/>
                  <w:divBdr>
                    <w:top w:val="none" w:sz="0" w:space="0" w:color="auto"/>
                    <w:left w:val="none" w:sz="0" w:space="0" w:color="auto"/>
                    <w:bottom w:val="none" w:sz="0" w:space="0" w:color="auto"/>
                    <w:right w:val="none" w:sz="0" w:space="0" w:color="auto"/>
                  </w:divBdr>
                </w:div>
              </w:divsChild>
            </w:div>
            <w:div w:id="1824194887">
              <w:marLeft w:val="0"/>
              <w:marRight w:val="0"/>
              <w:marTop w:val="0"/>
              <w:marBottom w:val="0"/>
              <w:divBdr>
                <w:top w:val="none" w:sz="0" w:space="0" w:color="auto"/>
                <w:left w:val="none" w:sz="0" w:space="0" w:color="auto"/>
                <w:bottom w:val="none" w:sz="0" w:space="0" w:color="auto"/>
                <w:right w:val="none" w:sz="0" w:space="0" w:color="auto"/>
              </w:divBdr>
              <w:divsChild>
                <w:div w:id="1535270504">
                  <w:marLeft w:val="0"/>
                  <w:marRight w:val="0"/>
                  <w:marTop w:val="0"/>
                  <w:marBottom w:val="0"/>
                  <w:divBdr>
                    <w:top w:val="none" w:sz="0" w:space="0" w:color="auto"/>
                    <w:left w:val="none" w:sz="0" w:space="0" w:color="auto"/>
                    <w:bottom w:val="none" w:sz="0" w:space="0" w:color="auto"/>
                    <w:right w:val="none" w:sz="0" w:space="0" w:color="auto"/>
                  </w:divBdr>
                </w:div>
              </w:divsChild>
            </w:div>
            <w:div w:id="1174613611">
              <w:marLeft w:val="0"/>
              <w:marRight w:val="0"/>
              <w:marTop w:val="0"/>
              <w:marBottom w:val="0"/>
              <w:divBdr>
                <w:top w:val="none" w:sz="0" w:space="0" w:color="auto"/>
                <w:left w:val="none" w:sz="0" w:space="0" w:color="auto"/>
                <w:bottom w:val="none" w:sz="0" w:space="0" w:color="auto"/>
                <w:right w:val="none" w:sz="0" w:space="0" w:color="auto"/>
              </w:divBdr>
              <w:divsChild>
                <w:div w:id="258178792">
                  <w:marLeft w:val="0"/>
                  <w:marRight w:val="0"/>
                  <w:marTop w:val="0"/>
                  <w:marBottom w:val="0"/>
                  <w:divBdr>
                    <w:top w:val="none" w:sz="0" w:space="0" w:color="auto"/>
                    <w:left w:val="none" w:sz="0" w:space="0" w:color="auto"/>
                    <w:bottom w:val="none" w:sz="0" w:space="0" w:color="auto"/>
                    <w:right w:val="none" w:sz="0" w:space="0" w:color="auto"/>
                  </w:divBdr>
                </w:div>
              </w:divsChild>
            </w:div>
            <w:div w:id="1497647381">
              <w:marLeft w:val="0"/>
              <w:marRight w:val="0"/>
              <w:marTop w:val="0"/>
              <w:marBottom w:val="0"/>
              <w:divBdr>
                <w:top w:val="none" w:sz="0" w:space="0" w:color="auto"/>
                <w:left w:val="none" w:sz="0" w:space="0" w:color="auto"/>
                <w:bottom w:val="none" w:sz="0" w:space="0" w:color="auto"/>
                <w:right w:val="none" w:sz="0" w:space="0" w:color="auto"/>
              </w:divBdr>
              <w:divsChild>
                <w:div w:id="1500196019">
                  <w:marLeft w:val="0"/>
                  <w:marRight w:val="0"/>
                  <w:marTop w:val="0"/>
                  <w:marBottom w:val="0"/>
                  <w:divBdr>
                    <w:top w:val="none" w:sz="0" w:space="0" w:color="auto"/>
                    <w:left w:val="none" w:sz="0" w:space="0" w:color="auto"/>
                    <w:bottom w:val="none" w:sz="0" w:space="0" w:color="auto"/>
                    <w:right w:val="none" w:sz="0" w:space="0" w:color="auto"/>
                  </w:divBdr>
                </w:div>
              </w:divsChild>
            </w:div>
            <w:div w:id="1617253354">
              <w:marLeft w:val="0"/>
              <w:marRight w:val="0"/>
              <w:marTop w:val="0"/>
              <w:marBottom w:val="0"/>
              <w:divBdr>
                <w:top w:val="none" w:sz="0" w:space="0" w:color="auto"/>
                <w:left w:val="none" w:sz="0" w:space="0" w:color="auto"/>
                <w:bottom w:val="none" w:sz="0" w:space="0" w:color="auto"/>
                <w:right w:val="none" w:sz="0" w:space="0" w:color="auto"/>
              </w:divBdr>
              <w:divsChild>
                <w:div w:id="1077171031">
                  <w:marLeft w:val="0"/>
                  <w:marRight w:val="0"/>
                  <w:marTop w:val="0"/>
                  <w:marBottom w:val="0"/>
                  <w:divBdr>
                    <w:top w:val="none" w:sz="0" w:space="0" w:color="auto"/>
                    <w:left w:val="none" w:sz="0" w:space="0" w:color="auto"/>
                    <w:bottom w:val="none" w:sz="0" w:space="0" w:color="auto"/>
                    <w:right w:val="none" w:sz="0" w:space="0" w:color="auto"/>
                  </w:divBdr>
                </w:div>
              </w:divsChild>
            </w:div>
            <w:div w:id="877548093">
              <w:marLeft w:val="0"/>
              <w:marRight w:val="0"/>
              <w:marTop w:val="0"/>
              <w:marBottom w:val="0"/>
              <w:divBdr>
                <w:top w:val="none" w:sz="0" w:space="0" w:color="auto"/>
                <w:left w:val="none" w:sz="0" w:space="0" w:color="auto"/>
                <w:bottom w:val="none" w:sz="0" w:space="0" w:color="auto"/>
                <w:right w:val="none" w:sz="0" w:space="0" w:color="auto"/>
              </w:divBdr>
              <w:divsChild>
                <w:div w:id="1227106765">
                  <w:marLeft w:val="0"/>
                  <w:marRight w:val="0"/>
                  <w:marTop w:val="0"/>
                  <w:marBottom w:val="0"/>
                  <w:divBdr>
                    <w:top w:val="none" w:sz="0" w:space="0" w:color="auto"/>
                    <w:left w:val="none" w:sz="0" w:space="0" w:color="auto"/>
                    <w:bottom w:val="none" w:sz="0" w:space="0" w:color="auto"/>
                    <w:right w:val="none" w:sz="0" w:space="0" w:color="auto"/>
                  </w:divBdr>
                </w:div>
              </w:divsChild>
            </w:div>
            <w:div w:id="1334213338">
              <w:marLeft w:val="0"/>
              <w:marRight w:val="0"/>
              <w:marTop w:val="0"/>
              <w:marBottom w:val="0"/>
              <w:divBdr>
                <w:top w:val="none" w:sz="0" w:space="0" w:color="auto"/>
                <w:left w:val="none" w:sz="0" w:space="0" w:color="auto"/>
                <w:bottom w:val="none" w:sz="0" w:space="0" w:color="auto"/>
                <w:right w:val="none" w:sz="0" w:space="0" w:color="auto"/>
              </w:divBdr>
              <w:divsChild>
                <w:div w:id="472914975">
                  <w:marLeft w:val="0"/>
                  <w:marRight w:val="0"/>
                  <w:marTop w:val="0"/>
                  <w:marBottom w:val="0"/>
                  <w:divBdr>
                    <w:top w:val="none" w:sz="0" w:space="0" w:color="auto"/>
                    <w:left w:val="none" w:sz="0" w:space="0" w:color="auto"/>
                    <w:bottom w:val="none" w:sz="0" w:space="0" w:color="auto"/>
                    <w:right w:val="none" w:sz="0" w:space="0" w:color="auto"/>
                  </w:divBdr>
                </w:div>
              </w:divsChild>
            </w:div>
            <w:div w:id="311957089">
              <w:marLeft w:val="0"/>
              <w:marRight w:val="0"/>
              <w:marTop w:val="0"/>
              <w:marBottom w:val="0"/>
              <w:divBdr>
                <w:top w:val="none" w:sz="0" w:space="0" w:color="auto"/>
                <w:left w:val="none" w:sz="0" w:space="0" w:color="auto"/>
                <w:bottom w:val="none" w:sz="0" w:space="0" w:color="auto"/>
                <w:right w:val="none" w:sz="0" w:space="0" w:color="auto"/>
              </w:divBdr>
              <w:divsChild>
                <w:div w:id="1947688453">
                  <w:marLeft w:val="0"/>
                  <w:marRight w:val="0"/>
                  <w:marTop w:val="0"/>
                  <w:marBottom w:val="0"/>
                  <w:divBdr>
                    <w:top w:val="none" w:sz="0" w:space="0" w:color="auto"/>
                    <w:left w:val="none" w:sz="0" w:space="0" w:color="auto"/>
                    <w:bottom w:val="none" w:sz="0" w:space="0" w:color="auto"/>
                    <w:right w:val="none" w:sz="0" w:space="0" w:color="auto"/>
                  </w:divBdr>
                </w:div>
              </w:divsChild>
            </w:div>
            <w:div w:id="260844356">
              <w:marLeft w:val="0"/>
              <w:marRight w:val="0"/>
              <w:marTop w:val="0"/>
              <w:marBottom w:val="0"/>
              <w:divBdr>
                <w:top w:val="none" w:sz="0" w:space="0" w:color="auto"/>
                <w:left w:val="none" w:sz="0" w:space="0" w:color="auto"/>
                <w:bottom w:val="none" w:sz="0" w:space="0" w:color="auto"/>
                <w:right w:val="none" w:sz="0" w:space="0" w:color="auto"/>
              </w:divBdr>
              <w:divsChild>
                <w:div w:id="67280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01590">
      <w:bodyDiv w:val="1"/>
      <w:marLeft w:val="0"/>
      <w:marRight w:val="0"/>
      <w:marTop w:val="0"/>
      <w:marBottom w:val="0"/>
      <w:divBdr>
        <w:top w:val="none" w:sz="0" w:space="0" w:color="auto"/>
        <w:left w:val="none" w:sz="0" w:space="0" w:color="auto"/>
        <w:bottom w:val="none" w:sz="0" w:space="0" w:color="auto"/>
        <w:right w:val="none" w:sz="0" w:space="0" w:color="auto"/>
      </w:divBdr>
    </w:div>
    <w:div w:id="213663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www.fiscalia.gov.co"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14FE8-8ED7-41A9-AAFF-0409AF349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18256</Words>
  <Characters>100411</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MAHEPAZ MAHEPAZ</dc:creator>
  <cp:keywords/>
  <dc:description/>
  <cp:lastModifiedBy>Edgar Moises Ballesteros Rodriguez</cp:lastModifiedBy>
  <cp:revision>2</cp:revision>
  <cp:lastPrinted>2023-01-25T19:27:00Z</cp:lastPrinted>
  <dcterms:created xsi:type="dcterms:W3CDTF">2023-09-08T14:18:00Z</dcterms:created>
  <dcterms:modified xsi:type="dcterms:W3CDTF">2023-09-08T14:18:00Z</dcterms:modified>
</cp:coreProperties>
</file>