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9F" w:rsidRDefault="00A46C79">
      <w:pPr>
        <w:spacing w:after="136" w:line="262" w:lineRule="auto"/>
        <w:ind w:left="3327" w:hanging="2897"/>
        <w:jc w:val="left"/>
      </w:pPr>
      <w:r>
        <w:rPr>
          <w:b/>
          <w:color w:val="000000"/>
        </w:rPr>
        <w:t xml:space="preserve">INSTRUCTIVO PARA EL DILIGENCIAMIENTO DEL FORMATO DE INVESTIGADOR DE LABORATORIO FPJ-13 </w:t>
      </w:r>
    </w:p>
    <w:p w:rsidR="00974E9F" w:rsidRPr="00BF55FF" w:rsidRDefault="00A45FE7">
      <w:pPr>
        <w:spacing w:after="0" w:line="259" w:lineRule="auto"/>
        <w:ind w:left="0" w:firstLine="0"/>
        <w:jc w:val="left"/>
        <w:rPr>
          <w:sz w:val="16"/>
          <w:szCs w:val="20"/>
        </w:rPr>
      </w:pPr>
      <w:r w:rsidRPr="001C4DDA">
        <w:rPr>
          <w:b/>
          <w:color w:val="000000"/>
          <w:sz w:val="16"/>
          <w:szCs w:val="20"/>
        </w:rPr>
        <w:t>Nota</w:t>
      </w:r>
      <w:r w:rsidR="001C4DDA" w:rsidRPr="001C4DDA">
        <w:rPr>
          <w:b/>
          <w:color w:val="000000"/>
          <w:sz w:val="16"/>
          <w:szCs w:val="20"/>
        </w:rPr>
        <w:t>1</w:t>
      </w:r>
      <w:r w:rsidRPr="001C4DDA">
        <w:rPr>
          <w:b/>
          <w:color w:val="000000"/>
          <w:sz w:val="16"/>
          <w:szCs w:val="20"/>
        </w:rPr>
        <w:t xml:space="preserve">: </w:t>
      </w:r>
      <w:r w:rsidRPr="001C4DDA">
        <w:rPr>
          <w:i/>
          <w:sz w:val="16"/>
          <w:szCs w:val="20"/>
        </w:rPr>
        <w:t>Conforme a lo establecido en la normatividad vigente que aplique</w:t>
      </w:r>
      <w:r w:rsidRPr="001C4DDA">
        <w:rPr>
          <w:sz w:val="16"/>
          <w:szCs w:val="20"/>
        </w:rPr>
        <w:t xml:space="preserve"> (los artículos según el marco normativo que aplique</w:t>
      </w:r>
      <w:r w:rsidR="00BF55FF">
        <w:rPr>
          <w:sz w:val="16"/>
          <w:szCs w:val="20"/>
        </w:rPr>
        <w:t xml:space="preserve"> (</w:t>
      </w:r>
      <w:r w:rsidRPr="001C4DDA">
        <w:rPr>
          <w:sz w:val="16"/>
          <w:szCs w:val="20"/>
        </w:rPr>
        <w:t>ejemplo: Ley 906</w:t>
      </w:r>
      <w:r w:rsidR="00BF55FF">
        <w:rPr>
          <w:sz w:val="16"/>
          <w:szCs w:val="20"/>
        </w:rPr>
        <w:t xml:space="preserve">: </w:t>
      </w:r>
      <w:r w:rsidR="00BF55FF" w:rsidRPr="00BF55FF">
        <w:rPr>
          <w:sz w:val="16"/>
          <w:szCs w:val="20"/>
        </w:rPr>
        <w:t>artículos 210, 255, 257, 261, 275 y 406 del C.P.P</w:t>
      </w:r>
      <w:r w:rsidRPr="001C4DDA">
        <w:rPr>
          <w:sz w:val="16"/>
          <w:szCs w:val="20"/>
        </w:rPr>
        <w:t>, justicia penal militar, contravencional</w:t>
      </w:r>
      <w:r w:rsidR="00D9065B" w:rsidRPr="001C4DDA">
        <w:rPr>
          <w:sz w:val="16"/>
          <w:szCs w:val="20"/>
        </w:rPr>
        <w:t xml:space="preserve"> entre otros</w:t>
      </w:r>
      <w:r w:rsidR="00BF55FF">
        <w:rPr>
          <w:sz w:val="16"/>
          <w:szCs w:val="20"/>
        </w:rPr>
        <w:t>).</w:t>
      </w:r>
      <w:r w:rsidR="00A46C79" w:rsidRPr="00BF55FF">
        <w:rPr>
          <w:sz w:val="16"/>
          <w:szCs w:val="20"/>
        </w:rPr>
        <w:t xml:space="preserve"> </w:t>
      </w:r>
    </w:p>
    <w:p w:rsidR="007E76EA" w:rsidRPr="00BF55FF" w:rsidRDefault="007E76EA">
      <w:pPr>
        <w:spacing w:after="0" w:line="259" w:lineRule="auto"/>
        <w:ind w:left="0" w:firstLine="0"/>
        <w:jc w:val="left"/>
        <w:rPr>
          <w:sz w:val="16"/>
          <w:szCs w:val="20"/>
        </w:rPr>
      </w:pPr>
    </w:p>
    <w:p w:rsidR="00A45FE7" w:rsidRPr="001C4DDA" w:rsidRDefault="001C4DDA">
      <w:pPr>
        <w:spacing w:after="0" w:line="259" w:lineRule="auto"/>
        <w:ind w:left="0" w:firstLine="0"/>
        <w:jc w:val="left"/>
        <w:rPr>
          <w:sz w:val="16"/>
          <w:szCs w:val="20"/>
        </w:rPr>
      </w:pPr>
      <w:r w:rsidRPr="001C4DDA">
        <w:rPr>
          <w:b/>
          <w:sz w:val="16"/>
          <w:szCs w:val="20"/>
        </w:rPr>
        <w:t>Nota 2</w:t>
      </w:r>
      <w:r w:rsidRPr="001C4DDA">
        <w:rPr>
          <w:sz w:val="16"/>
          <w:szCs w:val="20"/>
        </w:rPr>
        <w:t xml:space="preserve">: Se puede ampliar cada numeral de acuerdo a la cantidad de información plasmada.  </w:t>
      </w:r>
    </w:p>
    <w:p w:rsidR="001C4DDA" w:rsidRDefault="001C4DDA">
      <w:pPr>
        <w:spacing w:after="0" w:line="259" w:lineRule="auto"/>
        <w:ind w:left="0" w:firstLine="0"/>
        <w:jc w:val="left"/>
      </w:pPr>
    </w:p>
    <w:tbl>
      <w:tblPr>
        <w:tblStyle w:val="TableGrid"/>
        <w:tblW w:w="8820" w:type="dxa"/>
        <w:tblInd w:w="4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65"/>
        <w:gridCol w:w="8455"/>
      </w:tblGrid>
      <w:tr w:rsidR="00974E9F" w:rsidTr="006524BC">
        <w:trPr>
          <w:trHeight w:val="283"/>
        </w:trPr>
        <w:tc>
          <w:tcPr>
            <w:tcW w:w="3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</w:tcPr>
          <w:p w:rsidR="00974E9F" w:rsidRDefault="00A46C7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color w:val="000000"/>
                <w:sz w:val="18"/>
              </w:rPr>
              <w:t xml:space="preserve">1. </w:t>
            </w:r>
          </w:p>
        </w:tc>
        <w:tc>
          <w:tcPr>
            <w:tcW w:w="8454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974E9F" w:rsidRDefault="00A46C7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8"/>
              </w:rPr>
              <w:t xml:space="preserve"> IDENTIFICACIÓN DEL INFORME</w:t>
            </w:r>
            <w:r>
              <w:rPr>
                <w:b/>
                <w:color w:val="000000"/>
                <w:sz w:val="22"/>
              </w:rPr>
              <w:t xml:space="preserve">  </w:t>
            </w:r>
          </w:p>
        </w:tc>
      </w:tr>
    </w:tbl>
    <w:p w:rsidR="00974E9F" w:rsidRDefault="00A46C79">
      <w:pPr>
        <w:ind w:left="-5"/>
      </w:pPr>
      <w:r>
        <w:t xml:space="preserve">Se plasman los datos correspondientes a la identificación e individualización del informe pericial mediante número de informe u orden de trabajo, interconsulta o consecutivo de cada laboratorio. </w:t>
      </w:r>
    </w:p>
    <w:tbl>
      <w:tblPr>
        <w:tblStyle w:val="TableGrid"/>
        <w:tblW w:w="8820" w:type="dxa"/>
        <w:tblInd w:w="4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65"/>
        <w:gridCol w:w="8455"/>
      </w:tblGrid>
      <w:tr w:rsidR="00974E9F" w:rsidTr="006524BC">
        <w:trPr>
          <w:trHeight w:val="283"/>
        </w:trPr>
        <w:tc>
          <w:tcPr>
            <w:tcW w:w="3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</w:tcPr>
          <w:p w:rsidR="00974E9F" w:rsidRDefault="00A46C7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color w:val="000000"/>
                <w:sz w:val="18"/>
              </w:rPr>
              <w:t xml:space="preserve">2. </w:t>
            </w:r>
          </w:p>
        </w:tc>
        <w:tc>
          <w:tcPr>
            <w:tcW w:w="8454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974E9F" w:rsidRDefault="00A46C7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8"/>
              </w:rPr>
              <w:t>DESTINO DEL INFORME</w:t>
            </w:r>
            <w:r>
              <w:rPr>
                <w:b/>
                <w:color w:val="000000"/>
                <w:sz w:val="22"/>
              </w:rPr>
              <w:t xml:space="preserve">  </w:t>
            </w:r>
          </w:p>
        </w:tc>
      </w:tr>
    </w:tbl>
    <w:p w:rsidR="00974E9F" w:rsidRDefault="00A46C79" w:rsidP="001C4DDA">
      <w:pPr>
        <w:spacing w:after="163" w:line="259" w:lineRule="auto"/>
        <w:ind w:left="0" w:firstLine="0"/>
        <w:jc w:val="left"/>
      </w:pPr>
      <w:r>
        <w:t xml:space="preserve">La información del solicitante, autoridad asignada o perito que haya realizado interconsulta.  Hacer referencia a la solicitud de análisis, fecha de solicitud y fecha de recepción por la Institución o el laboratorio </w:t>
      </w:r>
    </w:p>
    <w:p w:rsidR="001C4DDA" w:rsidRPr="001C4DDA" w:rsidRDefault="001C4DDA" w:rsidP="001C4DDA">
      <w:pPr>
        <w:spacing w:after="25" w:line="216" w:lineRule="auto"/>
        <w:ind w:left="1" w:firstLine="0"/>
        <w:rPr>
          <w:sz w:val="16"/>
        </w:rPr>
      </w:pPr>
      <w:r w:rsidRPr="001C4DDA">
        <w:rPr>
          <w:b/>
          <w:sz w:val="16"/>
        </w:rPr>
        <w:t>Nota3:</w:t>
      </w:r>
      <w:r w:rsidRPr="001C4DDA">
        <w:rPr>
          <w:sz w:val="16"/>
        </w:rPr>
        <w:t xml:space="preserve"> Si la solicitud no indica el Fiscal de conocimiento o lugar de remisión del resultado,  este se puede encontrar con el Número de Noticia Criminal a través del SPOA o enviar a la Unidad de Fiscalías correspondiente.</w:t>
      </w:r>
      <w:r w:rsidRPr="001C4DDA">
        <w:rPr>
          <w:rFonts w:ascii="Times New Roman" w:eastAsia="Times New Roman" w:hAnsi="Times New Roman" w:cs="Times New Roman"/>
          <w:color w:val="FF0066"/>
          <w:sz w:val="22"/>
        </w:rPr>
        <w:t xml:space="preserve"> </w:t>
      </w:r>
    </w:p>
    <w:tbl>
      <w:tblPr>
        <w:tblStyle w:val="TableGrid"/>
        <w:tblW w:w="8955" w:type="dxa"/>
        <w:tblInd w:w="-5" w:type="dxa"/>
        <w:tblCellMar>
          <w:top w:w="23" w:type="dxa"/>
          <w:right w:w="115" w:type="dxa"/>
        </w:tblCellMar>
        <w:tblLook w:val="04A0" w:firstRow="1" w:lastRow="0" w:firstColumn="1" w:lastColumn="0" w:noHBand="0" w:noVBand="1"/>
      </w:tblPr>
      <w:tblGrid>
        <w:gridCol w:w="378"/>
        <w:gridCol w:w="8577"/>
      </w:tblGrid>
      <w:tr w:rsidR="00974E9F" w:rsidTr="006524BC">
        <w:trPr>
          <w:trHeight w:val="27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974E9F" w:rsidRDefault="00A46C79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color w:val="000000"/>
                <w:sz w:val="18"/>
              </w:rPr>
              <w:t xml:space="preserve">3. </w:t>
            </w:r>
          </w:p>
        </w:tc>
        <w:tc>
          <w:tcPr>
            <w:tcW w:w="8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74E9F" w:rsidRDefault="00A46C7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8"/>
              </w:rPr>
              <w:t xml:space="preserve">ESTUDIO SOLICITADO </w:t>
            </w:r>
          </w:p>
        </w:tc>
      </w:tr>
    </w:tbl>
    <w:p w:rsidR="00974E9F" w:rsidRDefault="00A46C79" w:rsidP="001C4DDA">
      <w:pPr>
        <w:ind w:left="-5"/>
      </w:pPr>
      <w:r>
        <w:t xml:space="preserve">Se debe indicar el estudio solicitado relacionado en </w:t>
      </w:r>
      <w:r w:rsidR="002A688D">
        <w:t xml:space="preserve">el formato de </w:t>
      </w:r>
      <w:r>
        <w:t xml:space="preserve">solicitud de análisis, oficio petitorio del particular o Institución.  </w:t>
      </w:r>
    </w:p>
    <w:tbl>
      <w:tblPr>
        <w:tblStyle w:val="TableGrid"/>
        <w:tblW w:w="8955" w:type="dxa"/>
        <w:tblInd w:w="-5" w:type="dxa"/>
        <w:tblCellMar>
          <w:top w:w="23" w:type="dxa"/>
          <w:right w:w="63" w:type="dxa"/>
        </w:tblCellMar>
        <w:tblLook w:val="04A0" w:firstRow="1" w:lastRow="0" w:firstColumn="1" w:lastColumn="0" w:noHBand="0" w:noVBand="1"/>
      </w:tblPr>
      <w:tblGrid>
        <w:gridCol w:w="365"/>
        <w:gridCol w:w="8590"/>
      </w:tblGrid>
      <w:tr w:rsidR="00974E9F" w:rsidTr="006524BC">
        <w:trPr>
          <w:trHeight w:val="494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974E9F" w:rsidRDefault="001C4DDA" w:rsidP="001C4DDA">
            <w:pPr>
              <w:spacing w:after="0" w:line="259" w:lineRule="auto"/>
              <w:jc w:val="left"/>
            </w:pPr>
            <w:r>
              <w:rPr>
                <w:b/>
                <w:color w:val="000000"/>
                <w:sz w:val="18"/>
              </w:rPr>
              <w:t xml:space="preserve"> </w:t>
            </w:r>
            <w:r w:rsidR="00A46C79">
              <w:rPr>
                <w:b/>
                <w:color w:val="000000"/>
                <w:sz w:val="18"/>
              </w:rPr>
              <w:t xml:space="preserve">4. </w:t>
            </w:r>
          </w:p>
        </w:tc>
        <w:tc>
          <w:tcPr>
            <w:tcW w:w="8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74E9F" w:rsidRDefault="00A46C79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  <w:sz w:val="18"/>
              </w:rPr>
              <w:t xml:space="preserve">DESCRIPCIÓN DE LOS ELEMENTOS MATERIALES PROBATORIOS Y EVIDENCIA FÍSICA RECIBIDOS PARA ESTUDIO </w:t>
            </w:r>
          </w:p>
        </w:tc>
      </w:tr>
    </w:tbl>
    <w:p w:rsidR="00974E9F" w:rsidRDefault="00A46C79">
      <w:pPr>
        <w:ind w:left="-5"/>
      </w:pPr>
      <w:r>
        <w:t xml:space="preserve">Una descripción de los EMP y EF general o detallada si es relevante según la disciplina, empleando redacción clara,  identificación única de muestra.  De presentarse inconsistencia entre la descripción consignada en la solicitud, Registro de Cadena de Custodia y elementos recibidos, dejar constancia. Así mismo declarar que el EMP y EF se recibe bajo Cadena de Custodia. </w:t>
      </w:r>
    </w:p>
    <w:p w:rsidR="00297B35" w:rsidRDefault="00297B35">
      <w:pPr>
        <w:ind w:left="-5"/>
      </w:pPr>
      <w:r>
        <w:t>En las disciplinas que aplique, debe relacionarse la información previa recibida.</w:t>
      </w:r>
    </w:p>
    <w:p w:rsidR="00974E9F" w:rsidRDefault="00A46C79">
      <w:pPr>
        <w:spacing w:after="5" w:line="259" w:lineRule="auto"/>
        <w:ind w:left="0" w:firstLine="0"/>
        <w:jc w:val="left"/>
      </w:pPr>
      <w:r>
        <w:t xml:space="preserve"> </w:t>
      </w:r>
    </w:p>
    <w:p w:rsidR="00974E9F" w:rsidRDefault="00A46C79" w:rsidP="006524BC">
      <w:pPr>
        <w:pStyle w:val="Ttulo1"/>
        <w:numPr>
          <w:ilvl w:val="0"/>
          <w:numId w:val="3"/>
        </w:numPr>
        <w:shd w:val="clear" w:color="auto" w:fill="F2F2F2" w:themeFill="background1" w:themeFillShade="F2"/>
        <w:spacing w:after="46"/>
      </w:pPr>
      <w:r>
        <w:t xml:space="preserve">PRINCIPIOS, METODOS O PROCEDIMIENTOS UTILIZADOS </w:t>
      </w:r>
      <w:r>
        <w:rPr>
          <w:sz w:val="22"/>
        </w:rPr>
        <w:t xml:space="preserve"> </w:t>
      </w:r>
    </w:p>
    <w:p w:rsidR="00974E9F" w:rsidRDefault="00A46C79">
      <w:pPr>
        <w:ind w:left="-5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-18287</wp:posOffset>
                </wp:positionH>
                <wp:positionV relativeFrom="paragraph">
                  <wp:posOffset>-191847</wp:posOffset>
                </wp:positionV>
                <wp:extent cx="5649214" cy="335280"/>
                <wp:effectExtent l="0" t="0" r="0" b="0"/>
                <wp:wrapNone/>
                <wp:docPr id="3067" name="Group 3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9214" cy="335280"/>
                          <a:chOff x="0" y="0"/>
                          <a:chExt cx="5649214" cy="335280"/>
                        </a:xfrm>
                      </wpg:grpSpPr>
                      <wps:wsp>
                        <wps:cNvPr id="3365" name="Shape 3365"/>
                        <wps:cNvSpPr/>
                        <wps:spPr>
                          <a:xfrm>
                            <a:off x="24460" y="6096"/>
                            <a:ext cx="5592699" cy="173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2699" h="173609">
                                <a:moveTo>
                                  <a:pt x="0" y="0"/>
                                </a:moveTo>
                                <a:lnTo>
                                  <a:pt x="5592699" y="0"/>
                                </a:lnTo>
                                <a:lnTo>
                                  <a:pt x="5592699" y="173609"/>
                                </a:lnTo>
                                <a:lnTo>
                                  <a:pt x="0" y="173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6" name="Shape 3366"/>
                        <wps:cNvSpPr/>
                        <wps:spPr>
                          <a:xfrm>
                            <a:off x="15240" y="0"/>
                            <a:ext cx="56034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3494" h="9144">
                                <a:moveTo>
                                  <a:pt x="0" y="0"/>
                                </a:moveTo>
                                <a:lnTo>
                                  <a:pt x="5603494" y="0"/>
                                </a:lnTo>
                                <a:lnTo>
                                  <a:pt x="56034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7" name="Shape 3367"/>
                        <wps:cNvSpPr/>
                        <wps:spPr>
                          <a:xfrm>
                            <a:off x="561868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8" name="Shape 3368"/>
                        <wps:cNvSpPr/>
                        <wps:spPr>
                          <a:xfrm>
                            <a:off x="15240" y="6096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9" name="Shape 3369"/>
                        <wps:cNvSpPr/>
                        <wps:spPr>
                          <a:xfrm>
                            <a:off x="15240" y="1798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0" name="Shape 3370"/>
                        <wps:cNvSpPr/>
                        <wps:spPr>
                          <a:xfrm>
                            <a:off x="24384" y="179832"/>
                            <a:ext cx="5594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4350" h="9144">
                                <a:moveTo>
                                  <a:pt x="0" y="0"/>
                                </a:moveTo>
                                <a:lnTo>
                                  <a:pt x="5594350" y="0"/>
                                </a:lnTo>
                                <a:lnTo>
                                  <a:pt x="5594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1" name="Shape 3371"/>
                        <wps:cNvSpPr/>
                        <wps:spPr>
                          <a:xfrm>
                            <a:off x="5618684" y="6096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2" name="Shape 3372"/>
                        <wps:cNvSpPr/>
                        <wps:spPr>
                          <a:xfrm>
                            <a:off x="5618684" y="1798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3" name="Shape 3373"/>
                        <wps:cNvSpPr/>
                        <wps:spPr>
                          <a:xfrm>
                            <a:off x="0" y="188976"/>
                            <a:ext cx="564921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9214" h="146304">
                                <a:moveTo>
                                  <a:pt x="0" y="0"/>
                                </a:moveTo>
                                <a:lnTo>
                                  <a:pt x="5649214" y="0"/>
                                </a:lnTo>
                                <a:lnTo>
                                  <a:pt x="564921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CBF626" id="Group 3067" o:spid="_x0000_s1026" style="position:absolute;margin-left:-1.45pt;margin-top:-15.1pt;width:444.8pt;height:26.4pt;z-index:-251658240" coordsize="56492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">
                <v:shape id="Shape 3365" o:spid="_x0000_s1027" style="position:absolute;left:244;top:60;width:55927;height:1737;visibility:visible;mso-wrap-style:square;v-text-anchor:top" coordsize="5592699,173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3macYA&#10;AADdAAAADwAAAGRycy9kb3ducmV2LnhtbESP0WrCQBRE3wX/YbmCL0U3aiuauooKUkspYvQDbrPX&#10;JJi9G7JrTP/eLRR8HGbmDLNYtaYUDdWusKxgNIxAEKdWF5wpOJ92gxkI55E1lpZJwS85WC27nQXG&#10;2t75SE3iMxEg7GJUkHtfxVK6NCeDbmgr4uBdbG3QB1lnUtd4D3BTynEUTaXBgsNCjhVtc0qvyc0o&#10;2FRf82T2YpsNfV/tz+v28Pmxlkr1e+36HYSn1j/D/+29VjCZTN/g7014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X3macYAAADdAAAADwAAAAAAAAAAAAAAAACYAgAAZHJz&#10;L2Rvd25yZXYueG1sUEsFBgAAAAAEAAQA9QAAAIsDAAAAAA==&#10;" path="m,l5592699,r,173609l,173609,,e" fillcolor="#d9d9d9" stroked="f" strokeweight="0">
                  <v:stroke miterlimit="83231f" joinstyle="miter"/>
                  <v:path arrowok="t" textboxrect="0,0,5592699,173609"/>
                </v:shape>
                <v:shape id="Shape 3366" o:spid="_x0000_s1028" style="position:absolute;left:152;width:56035;height:91;visibility:visible;mso-wrap-style:square;v-text-anchor:top" coordsize="56034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43kcQA&#10;AADdAAAADwAAAGRycy9kb3ducmV2LnhtbESPQWsCMRSE70L/Q3hCL6JZK2xlNcpSatlbqS09PzbP&#10;zWLysiSpbv+9EQo9DjPzDbPdj86KC4XYe1awXBQgiFuve+4UfH0e5msQMSFrtJ5JwS9F2O8eJlus&#10;tL/yB12OqRMZwrFCBSaloZIytoYcxoUfiLN38sFhyjJ0Uge8Zriz8qkoSumw57xgcKAXQ+35+OMU&#10;fI/1rDk829f6PbzZstdm2Wij1ON0rDcgEo3pP/zXbrSC1aos4f4mPwG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+N5HEAAAA3QAAAA8AAAAAAAAAAAAAAAAAmAIAAGRycy9k&#10;b3ducmV2LnhtbFBLBQYAAAAABAAEAPUAAACJAwAAAAA=&#10;" path="m,l5603494,r,9144l,9144,,e" fillcolor="black" stroked="f" strokeweight="0">
                  <v:stroke miterlimit="83231f" joinstyle="miter"/>
                  <v:path arrowok="t" textboxrect="0,0,5603494,9144"/>
                </v:shape>
                <v:shape id="Shape 3367" o:spid="_x0000_s1029" style="position:absolute;left:5618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ZTv8YA&#10;AADdAAAADwAAAGRycy9kb3ducmV2LnhtbESPT2vCQBTE7wW/w/KE3urGWoxE16CFghQK9c+hx9fs&#10;Mwlm38bdNUm/fbdQ8DjMzG+YVT6YRnTkfG1ZwXSSgCAurK65VHA6vj0tQPiArLGxTAp+yEO+Hj2s&#10;MNO25z11h1CKCGGfoYIqhDaT0hcVGfQT2xJH72ydwRClK6V22Ee4aeRzksylwZrjQoUtvVZUXA43&#10;o6C9lu7r6vWWv2+f7yknOxo+XpR6HA+bJYhAQ7iH/9s7rWA2m6fw9yY+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ZTv8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68" o:spid="_x0000_s1030" style="position:absolute;left:152;top:60;width:91;height:1738;visibility:visible;mso-wrap-style:square;v-text-anchor:top" coordsize="9144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7n8UA&#10;AADdAAAADwAAAGRycy9kb3ducmV2LnhtbERPy2rCQBTdF/oPwy24KTpRi0h0EkpFK8WN8YHLa+Y2&#10;Cc3ciZlR0793FoUuD+c9TztTixu1rrKsYDiIQBDnVldcKNjvlv0pCOeRNdaWScEvOUiT56c5xtre&#10;eUu3zBcihLCLUUHpfRNL6fKSDLqBbYgD921bgz7AtpC6xXsIN7UcRdFEGqw4NJTY0EdJ+U92NQoO&#10;22zEi8vbZpGtj6fXr9Xn7rxhpXov3fsMhKfO/4v/3GutYDyehLnhTXgCMn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nufxQAAAN0AAAAPAAAAAAAAAAAAAAAAAJgCAABkcnMv&#10;ZG93bnJldi54bWxQSwUGAAAAAAQABAD1AAAAigMAAAAA&#10;" path="m,l9144,r,173736l,173736,,e" fillcolor="black" stroked="f" strokeweight="0">
                  <v:stroke miterlimit="83231f" joinstyle="miter"/>
                  <v:path arrowok="t" textboxrect="0,0,9144,173736"/>
                </v:shape>
                <v:shape id="Shape 3369" o:spid="_x0000_s1031" style="position:absolute;left:152;top:179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iVsUA&#10;AADdAAAADwAAAGRycy9kb3ducmV2LnhtbESPW2sCMRSE3wv+h3AE32pWLV5Wo6ggiFDw0oc+HjfH&#10;3cXNyZpE3f57Uyj0cZiZb5jZojGVeJDzpWUFvW4CgjizuuRcwddp8z4G4QOyxsoyKfghD4t5622G&#10;qbZPPtDjGHIRIexTVFCEUKdS+qwgg75ra+LoXawzGKJ0udQOnxFuKtlPkqE0WHJcKLCmdUHZ9Xg3&#10;Cupb7r5vXq/4fN/vRpxsqfn8UKrTbpZTEIGa8B/+a2+1gsFgOIHfN/EJy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pWJW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70" o:spid="_x0000_s1032" style="position:absolute;left:243;top:1798;width:55944;height:91;visibility:visible;mso-wrap-style:square;v-text-anchor:top" coordsize="55943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rGlsEA&#10;AADdAAAADwAAAGRycy9kb3ducmV2LnhtbERPy4rCMBTdD/gP4QruxlQdfFSjiCA4uLIzC5eX5NoW&#10;m5vSRFv9erMQXB7Oe7XpbCXu1PjSsYLRMAFBrJ0pOVfw/7f/noPwAdlg5ZgUPMjDZt37WmFqXMsn&#10;umchFzGEfYoKihDqVEqvC7Loh64mjtzFNRZDhE0uTYNtDLeVHCfJVFosOTYUWNOuIH3NblbB78+s&#10;fWQZn+p28XweR/lZL/RZqUG/2y5BBOrCR/x2H4yCyWQW98c38Qn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qxpbBAAAA3QAAAA8AAAAAAAAAAAAAAAAAmAIAAGRycy9kb3du&#10;cmV2LnhtbFBLBQYAAAAABAAEAPUAAACGAwAAAAA=&#10;" path="m,l5594350,r,9144l,9144,,e" fillcolor="black" stroked="f" strokeweight="0">
                  <v:stroke miterlimit="83231f" joinstyle="miter"/>
                  <v:path arrowok="t" textboxrect="0,0,5594350,9144"/>
                </v:shape>
                <v:shape id="Shape 3371" o:spid="_x0000_s1033" style="position:absolute;left:56186;top:60;width:92;height:1738;visibility:visible;mso-wrap-style:square;v-text-anchor:top" coordsize="9144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E38gA&#10;AADdAAAADwAAAGRycy9kb3ducmV2LnhtbESPW2vCQBSE3wv+h+UU+lJ044W2RFcRxQvii9GKj8fs&#10;aRLMnk2zq6b/vlsQ+jjMzDfMaNKYUtyodoVlBd1OBII4tbrgTMFhv2h/gHAeWWNpmRT8kIPJuPU0&#10;wljbO+/olvhMBAi7GBXk3lexlC7NyaDr2Io4eF+2NuiDrDOpa7wHuCllL4repMGCw0KOFc1ySi/J&#10;1Sj43CU9nn8PtvNkfTy9bpar/XnLSr08N9MhCE+N/w8/2mutoN9/78Lfm/AE5Pg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QUTfyAAAAN0AAAAPAAAAAAAAAAAAAAAAAJgCAABk&#10;cnMvZG93bnJldi54bWxQSwUGAAAAAAQABAD1AAAAjQMAAAAA&#10;" path="m,l9144,r,173736l,173736,,e" fillcolor="black" stroked="f" strokeweight="0">
                  <v:stroke miterlimit="83231f" joinstyle="miter"/>
                  <v:path arrowok="t" textboxrect="0,0,9144,173736"/>
                </v:shape>
                <v:shape id="Shape 3372" o:spid="_x0000_s1034" style="position:absolute;left:56186;top:179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m+sQA&#10;AADdAAAADwAAAGRycy9kb3ducmV2LnhtbESPT4vCMBTE74LfITzBm6b+QZeuUXYFQQTBdffg8dm8&#10;bYvNS02i1m9vBMHjMDO/YWaLxlTiSs6XlhUM+gkI4szqknMFf7+r3gcIH5A1VpZJwZ08LObt1gxT&#10;bW/8Q9d9yEWEsE9RQRFCnUrps4IM+r6tiaP3b53BEKXLpXZ4i3BTyWGSTKTBkuNCgTUtC8pO+4tR&#10;UJ9zdzh7/c3Hy24z5WRNzXasVLfTfH2CCNSEd/jVXmsFo9F0CM838Qn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YZvr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73" o:spid="_x0000_s1035" style="position:absolute;top:1889;width:56492;height:1463;visibility:visible;mso-wrap-style:square;v-text-anchor:top" coordsize="564921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3OMUA&#10;AADdAAAADwAAAGRycy9kb3ducmV2LnhtbESPT2vCQBTE7wW/w/IEb3WjgSrRVUQoVXpo/QceH9ln&#10;Esy+Dbtrkn77bqHgcZiZ3zDLdW9q0ZLzlWUFk3ECgji3uuJCwfn0/joH4QOyxtoyKfghD+vV4GWJ&#10;mbYdH6g9hkJECPsMFZQhNJmUPi/JoB/bhjh6N+sMhihdIbXDLsJNLadJ8iYNVhwXSmxoW1J+Pz6M&#10;AnnrLh/z3VfSFlP6/DbG7R/XmVKjYb9ZgAjUh2f4v73TCtJ0lsLf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iXc4xQAAAN0AAAAPAAAAAAAAAAAAAAAAAJgCAABkcnMv&#10;ZG93bnJldi54bWxQSwUGAAAAAAQABAD1AAAAigMAAAAA&#10;" path="m,l5649214,r,146304l,146304,,e" stroked="f" strokeweight="0">
                  <v:stroke miterlimit="83231f" joinstyle="miter"/>
                  <v:path arrowok="t" textboxrect="0,0,5649214,146304"/>
                </v:shape>
              </v:group>
            </w:pict>
          </mc:Fallback>
        </mc:AlternateContent>
      </w:r>
      <w:r>
        <w:t xml:space="preserve">Mencionar, según aplique al tipo de disciplina, los principios, método o procedimientos utilizados por el perito para obtener los resultados que se plasman en el informe de investigador de laboratorio.  Realizar una explicación clara, concisa y breve del fundamento técnico científico de los mismos y referenciar los </w:t>
      </w:r>
      <w:r w:rsidR="002A688D">
        <w:t xml:space="preserve">documentos internos </w:t>
      </w:r>
      <w:r>
        <w:t xml:space="preserve">del Sistema de Calidad de cada Institución (métodos, guías, procedimientos, instructivos, Procedimiento Estandarizado de Trabajo-PET, </w:t>
      </w:r>
      <w:proofErr w:type="spellStart"/>
      <w:r>
        <w:t>etc</w:t>
      </w:r>
      <w:proofErr w:type="spellEnd"/>
      <w:r>
        <w:t xml:space="preserve">) utilizado en su versión vigente. </w:t>
      </w:r>
    </w:p>
    <w:tbl>
      <w:tblPr>
        <w:tblStyle w:val="TableGrid"/>
        <w:tblW w:w="8885" w:type="dxa"/>
        <w:tblInd w:w="-10" w:type="dxa"/>
        <w:tblCellMar>
          <w:top w:w="12" w:type="dxa"/>
          <w:right w:w="2" w:type="dxa"/>
        </w:tblCellMar>
        <w:tblLook w:val="04A0" w:firstRow="1" w:lastRow="0" w:firstColumn="1" w:lastColumn="0" w:noHBand="0" w:noVBand="1"/>
      </w:tblPr>
      <w:tblGrid>
        <w:gridCol w:w="379"/>
        <w:gridCol w:w="8506"/>
      </w:tblGrid>
      <w:tr w:rsidR="00974E9F" w:rsidTr="006524BC">
        <w:trPr>
          <w:trHeight w:val="494"/>
        </w:trPr>
        <w:tc>
          <w:tcPr>
            <w:tcW w:w="37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</w:tcPr>
          <w:p w:rsidR="00974E9F" w:rsidRDefault="00A46C79">
            <w:pPr>
              <w:spacing w:after="0" w:line="259" w:lineRule="auto"/>
              <w:ind w:left="19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b/>
                <w:color w:val="000000"/>
                <w:sz w:val="18"/>
              </w:rPr>
              <w:t xml:space="preserve">6. </w:t>
            </w:r>
          </w:p>
        </w:tc>
        <w:tc>
          <w:tcPr>
            <w:tcW w:w="8506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974E9F" w:rsidRDefault="00A46C79" w:rsidP="002A688D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  <w:sz w:val="18"/>
              </w:rPr>
              <w:t>ACEPTACIÓN DE LOS PRINCIPIOS, M</w:t>
            </w:r>
            <w:r w:rsidR="002A688D">
              <w:rPr>
                <w:b/>
                <w:color w:val="000000"/>
                <w:sz w:val="18"/>
              </w:rPr>
              <w:t>É</w:t>
            </w:r>
            <w:r>
              <w:rPr>
                <w:b/>
                <w:color w:val="000000"/>
                <w:sz w:val="18"/>
              </w:rPr>
              <w:t>TODOS O PROCEDIMIENTOS POR LA COMUNIDAD TÉCNICO</w:t>
            </w:r>
            <w:r w:rsidR="00766EDE">
              <w:t xml:space="preserve"> </w:t>
            </w:r>
            <w:r>
              <w:rPr>
                <w:b/>
                <w:color w:val="000000"/>
                <w:sz w:val="18"/>
              </w:rPr>
              <w:t xml:space="preserve">CIENTÍFICA </w:t>
            </w:r>
          </w:p>
        </w:tc>
      </w:tr>
    </w:tbl>
    <w:p w:rsidR="00974E9F" w:rsidRDefault="00A46C79" w:rsidP="001C4DDA">
      <w:pPr>
        <w:ind w:left="-5"/>
      </w:pPr>
      <w:r>
        <w:t xml:space="preserve">Relacionar la aceptación de los principios, métodos o procedimientos por la comunidad técnico- científica a nivel nacional o internacional, según aplique. </w:t>
      </w:r>
    </w:p>
    <w:tbl>
      <w:tblPr>
        <w:tblStyle w:val="TableGrid"/>
        <w:tblW w:w="8852" w:type="dxa"/>
        <w:tblInd w:w="-10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379"/>
        <w:gridCol w:w="8473"/>
      </w:tblGrid>
      <w:tr w:rsidR="00974E9F">
        <w:trPr>
          <w:trHeight w:val="284"/>
        </w:trPr>
        <w:tc>
          <w:tcPr>
            <w:tcW w:w="3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974E9F" w:rsidRDefault="00A46C79">
            <w:pPr>
              <w:spacing w:after="0" w:line="259" w:lineRule="auto"/>
              <w:ind w:left="19" w:firstLine="0"/>
              <w:jc w:val="left"/>
            </w:pPr>
            <w:r>
              <w:rPr>
                <w:b/>
                <w:color w:val="000000"/>
                <w:sz w:val="18"/>
              </w:rPr>
              <w:t xml:space="preserve">7. </w:t>
            </w:r>
          </w:p>
        </w:tc>
        <w:tc>
          <w:tcPr>
            <w:tcW w:w="8473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74E9F" w:rsidRDefault="00A46C7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8"/>
              </w:rPr>
              <w:t>EQUIPOS E INSTRUMENTOS EMPLEADOS Y SU ESTADO DE MANTENIMIENTO</w:t>
            </w:r>
            <w:r>
              <w:rPr>
                <w:b/>
                <w:color w:val="000000"/>
                <w:sz w:val="22"/>
              </w:rPr>
              <w:t xml:space="preserve">  </w:t>
            </w:r>
          </w:p>
        </w:tc>
      </w:tr>
    </w:tbl>
    <w:p w:rsidR="00974E9F" w:rsidRDefault="00A46C79" w:rsidP="001C4DDA">
      <w:pPr>
        <w:ind w:left="-5"/>
      </w:pPr>
      <w:r>
        <w:t xml:space="preserve">La relación de equipos e </w:t>
      </w:r>
      <w:r w:rsidR="002A688D">
        <w:t>i</w:t>
      </w:r>
      <w:r>
        <w:t xml:space="preserve">nstrumentos fundamentales para el análisis de acuerdo a los </w:t>
      </w:r>
      <w:r w:rsidR="002A688D">
        <w:t>documentos internos</w:t>
      </w:r>
      <w:r>
        <w:t xml:space="preserve"> del Sistema de Calidad de cada Institución (métodos, guías, procedimientos, instructivos, Procedimiento Estandarizado de Trabajo-PET, etc.).  Estos equipos e instrumentos deben estar sujetos a un programa de mantenimiento.  </w:t>
      </w:r>
    </w:p>
    <w:tbl>
      <w:tblPr>
        <w:tblStyle w:val="TableGrid"/>
        <w:tblW w:w="8852" w:type="dxa"/>
        <w:tblInd w:w="-10" w:type="dxa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379"/>
        <w:gridCol w:w="8473"/>
      </w:tblGrid>
      <w:tr w:rsidR="00974E9F" w:rsidTr="006524BC">
        <w:trPr>
          <w:trHeight w:val="281"/>
        </w:trPr>
        <w:tc>
          <w:tcPr>
            <w:tcW w:w="37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974E9F" w:rsidRDefault="00A46C79">
            <w:pPr>
              <w:spacing w:after="0" w:line="259" w:lineRule="auto"/>
              <w:ind w:left="19" w:firstLine="0"/>
              <w:jc w:val="left"/>
            </w:pPr>
            <w:r>
              <w:rPr>
                <w:b/>
                <w:color w:val="000000"/>
                <w:sz w:val="18"/>
              </w:rPr>
              <w:t xml:space="preserve">8. </w:t>
            </w:r>
          </w:p>
        </w:tc>
        <w:tc>
          <w:tcPr>
            <w:tcW w:w="8473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974E9F" w:rsidRDefault="00A46C7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8"/>
              </w:rPr>
              <w:t xml:space="preserve">RESULTADOS </w:t>
            </w:r>
          </w:p>
        </w:tc>
      </w:tr>
    </w:tbl>
    <w:p w:rsidR="00974E9F" w:rsidRDefault="00A46C79">
      <w:pPr>
        <w:ind w:left="-5"/>
      </w:pPr>
      <w:r>
        <w:t xml:space="preserve">Se mencionan los resultados o hallazgos de los análisis, deben expresarse en forma clara y objetiva, de acuerdo a las instrucciones consignadas en los documentos internos del Sistema de Calidad correspondiente. </w:t>
      </w:r>
    </w:p>
    <w:p w:rsidR="00974E9F" w:rsidRDefault="00974E9F">
      <w:pPr>
        <w:spacing w:after="0" w:line="259" w:lineRule="auto"/>
        <w:ind w:left="0" w:firstLine="0"/>
        <w:jc w:val="left"/>
      </w:pPr>
    </w:p>
    <w:p w:rsidR="00974E9F" w:rsidRDefault="00A46C79" w:rsidP="006524BC">
      <w:pPr>
        <w:ind w:left="-5"/>
      </w:pPr>
      <w:r>
        <w:lastRenderedPageBreak/>
        <w:t xml:space="preserve">Cuando aplique, se debe reportar los resultados con sus unidades de medida de acuerdo al Sistema Internacional de Unidades (SI). </w:t>
      </w:r>
    </w:p>
    <w:p w:rsidR="00974E9F" w:rsidRDefault="00A46C79" w:rsidP="001C4DDA">
      <w:pPr>
        <w:ind w:left="-5"/>
      </w:pPr>
      <w:r>
        <w:t xml:space="preserve">Los hallazgos se pueden complementar o indicar en gráficas, tablas, fotografías y demás que el perito considere que requiere para una clara exposición.  </w:t>
      </w:r>
    </w:p>
    <w:p w:rsidR="006524BC" w:rsidRDefault="006524BC" w:rsidP="001C4DDA">
      <w:pPr>
        <w:ind w:left="-5"/>
      </w:pPr>
    </w:p>
    <w:tbl>
      <w:tblPr>
        <w:tblStyle w:val="TableGrid"/>
        <w:tblW w:w="8852" w:type="dxa"/>
        <w:tblInd w:w="-10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379"/>
        <w:gridCol w:w="8473"/>
      </w:tblGrid>
      <w:tr w:rsidR="00974E9F" w:rsidTr="006524BC">
        <w:trPr>
          <w:trHeight w:val="284"/>
        </w:trPr>
        <w:tc>
          <w:tcPr>
            <w:tcW w:w="3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</w:tcPr>
          <w:p w:rsidR="00974E9F" w:rsidRDefault="00A46C79">
            <w:pPr>
              <w:spacing w:after="0" w:line="259" w:lineRule="auto"/>
              <w:ind w:left="19" w:firstLine="0"/>
              <w:jc w:val="left"/>
            </w:pPr>
            <w:r>
              <w:rPr>
                <w:b/>
                <w:color w:val="000000"/>
                <w:sz w:val="18"/>
              </w:rPr>
              <w:t xml:space="preserve">9. </w:t>
            </w:r>
          </w:p>
        </w:tc>
        <w:tc>
          <w:tcPr>
            <w:tcW w:w="8473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974E9F" w:rsidRDefault="00A46C7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8"/>
              </w:rPr>
              <w:t>INTERPRETACIÓN DE RESULTADOS / CONCLUSIONES</w:t>
            </w:r>
            <w:r>
              <w:rPr>
                <w:b/>
                <w:color w:val="000000"/>
                <w:sz w:val="22"/>
              </w:rPr>
              <w:t xml:space="preserve">  </w:t>
            </w:r>
          </w:p>
        </w:tc>
      </w:tr>
    </w:tbl>
    <w:p w:rsidR="00974E9F" w:rsidRDefault="00A46C79">
      <w:pPr>
        <w:ind w:left="-5"/>
      </w:pPr>
      <w:r>
        <w:t xml:space="preserve">El perito utiliza datos o hallazgos significativos en la evaluación del EMP Y EF obtenidos y aceptados por principios técnicos- científicos. La interpretación y/o conclusión de los resultados debe basarse únicamente en dichos datos o hallazgos, expresada en forma clara, precisa y en un lenguaje sencillo que la entienda cualquier persona. </w:t>
      </w:r>
    </w:p>
    <w:p w:rsidR="00974E9F" w:rsidRDefault="00A46C79">
      <w:pPr>
        <w:spacing w:after="0" w:line="259" w:lineRule="auto"/>
        <w:ind w:left="0" w:firstLine="0"/>
        <w:jc w:val="left"/>
      </w:pPr>
      <w:r>
        <w:t xml:space="preserve"> </w:t>
      </w:r>
    </w:p>
    <w:p w:rsidR="00974E9F" w:rsidRDefault="00A46C79">
      <w:pPr>
        <w:ind w:left="-5"/>
      </w:pPr>
      <w:r>
        <w:t xml:space="preserve">Cualquier limitación en la interpretación de resultados o en las conclusiones debe ser declarada en este numeral. </w:t>
      </w:r>
    </w:p>
    <w:tbl>
      <w:tblPr>
        <w:tblStyle w:val="TableGrid"/>
        <w:tblW w:w="8852" w:type="dxa"/>
        <w:tblInd w:w="-10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1965"/>
        <w:gridCol w:w="6887"/>
      </w:tblGrid>
      <w:tr w:rsidR="001C4DDA" w:rsidTr="006524BC">
        <w:trPr>
          <w:trHeight w:val="284"/>
        </w:trPr>
        <w:tc>
          <w:tcPr>
            <w:tcW w:w="3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</w:tcPr>
          <w:p w:rsidR="001C4DDA" w:rsidRPr="001C4DDA" w:rsidRDefault="001C4DDA" w:rsidP="001C4DDA">
            <w:pPr>
              <w:spacing w:after="0" w:line="259" w:lineRule="auto"/>
              <w:ind w:left="19" w:firstLine="0"/>
              <w:jc w:val="left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10.OBSERVACIONES</w:t>
            </w:r>
          </w:p>
        </w:tc>
        <w:tc>
          <w:tcPr>
            <w:tcW w:w="8473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1C4DDA" w:rsidRPr="001C4DDA" w:rsidRDefault="001C4DDA" w:rsidP="003F4B7C">
            <w:pPr>
              <w:spacing w:after="0" w:line="259" w:lineRule="auto"/>
              <w:ind w:left="0" w:firstLine="0"/>
              <w:jc w:val="left"/>
              <w:rPr>
                <w:b/>
                <w:color w:val="000000"/>
                <w:sz w:val="18"/>
              </w:rPr>
            </w:pPr>
          </w:p>
        </w:tc>
      </w:tr>
    </w:tbl>
    <w:p w:rsidR="00974E9F" w:rsidRDefault="00A46C79" w:rsidP="001C4DDA">
      <w:pPr>
        <w:spacing w:after="0" w:line="259" w:lineRule="auto"/>
        <w:ind w:left="0" w:firstLine="0"/>
        <w:jc w:val="left"/>
      </w:pPr>
      <w:r>
        <w:t xml:space="preserve"> El perito puede realizar comentario que permita orientar la investigación.  Así mismo hará recomendaciones para posible descarte o almacenaje del EMP y EF.  La declaración de que los resultados solo están relacionados con el(los) EMP Y EF analizados, entre otras. </w:t>
      </w:r>
    </w:p>
    <w:p w:rsidR="00974E9F" w:rsidRDefault="00A46C79" w:rsidP="00077A3E">
      <w:pPr>
        <w:spacing w:after="0" w:line="259" w:lineRule="auto"/>
        <w:ind w:left="0" w:firstLine="0"/>
        <w:jc w:val="left"/>
      </w:pPr>
      <w:r>
        <w:t xml:space="preserve">Se debe registrar si las muestras analizadas se agotaron en la realización de los análisis, si quedan remanentes o material de soporte, tal como fotografías.  </w:t>
      </w:r>
    </w:p>
    <w:p w:rsidR="00077A3E" w:rsidRDefault="00077A3E" w:rsidP="001C4DDA">
      <w:pPr>
        <w:ind w:left="-5"/>
      </w:pPr>
      <w:r>
        <w:t xml:space="preserve">En las disciplinas que aplique relacionar fuentes bibliográficas </w:t>
      </w:r>
    </w:p>
    <w:p w:rsidR="00974E9F" w:rsidRDefault="00A46C79" w:rsidP="006524BC">
      <w:pPr>
        <w:pBdr>
          <w:top w:val="single" w:sz="8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 w:themeFill="background1" w:themeFillShade="F2"/>
        <w:spacing w:after="57" w:line="259" w:lineRule="auto"/>
        <w:ind w:firstLine="0"/>
        <w:jc w:val="left"/>
      </w:pPr>
      <w:r>
        <w:rPr>
          <w:b/>
          <w:color w:val="000000"/>
          <w:sz w:val="18"/>
        </w:rPr>
        <w:t xml:space="preserve">11. ANEXOS  </w:t>
      </w:r>
    </w:p>
    <w:p w:rsidR="00974E9F" w:rsidRDefault="00A46C79" w:rsidP="001C4DDA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Se relacionan todos los anexos en forma clara y sencilla, enumerándolos. Cuando se remitan muestras con el informe pericial, es necesario relacionarlas en este numeral. </w:t>
      </w:r>
    </w:p>
    <w:p w:rsidR="00974E9F" w:rsidRDefault="00A46C79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974E9F" w:rsidRDefault="002A688D" w:rsidP="00652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59" w:lineRule="auto"/>
        <w:ind w:left="-5"/>
        <w:jc w:val="left"/>
      </w:pPr>
      <w:r>
        <w:rPr>
          <w:b/>
        </w:rPr>
        <w:t xml:space="preserve">12. </w:t>
      </w:r>
      <w:r w:rsidR="00A46C79">
        <w:rPr>
          <w:b/>
        </w:rPr>
        <w:t xml:space="preserve">PERITO/SERVIDOR DE POLICIA JUDICIAL </w:t>
      </w:r>
    </w:p>
    <w:p w:rsidR="006524BC" w:rsidRDefault="006524BC" w:rsidP="00297B35">
      <w:pPr>
        <w:spacing w:after="0" w:line="259" w:lineRule="auto"/>
        <w:ind w:left="0" w:firstLine="0"/>
      </w:pPr>
    </w:p>
    <w:p w:rsidR="00974E9F" w:rsidRDefault="00A46C79" w:rsidP="00297B35">
      <w:pPr>
        <w:spacing w:after="0" w:line="259" w:lineRule="auto"/>
        <w:ind w:left="0" w:firstLine="0"/>
      </w:pPr>
      <w:r>
        <w:t xml:space="preserve">El informe será firmado por el perito o peritos responsables de los análisis, consignando en forma clara nombres y apellidos, identificación, entidad, cargo, teléfono o celular institucional del laboratorio, correo electrónico institucional o del laboratorio y firma.  </w:t>
      </w:r>
    </w:p>
    <w:p w:rsidR="00974E9F" w:rsidRDefault="00A46C79">
      <w:pPr>
        <w:spacing w:after="0" w:line="259" w:lineRule="auto"/>
        <w:ind w:left="0" w:firstLine="0"/>
        <w:jc w:val="left"/>
      </w:pPr>
      <w:r>
        <w:t xml:space="preserve"> </w:t>
      </w:r>
    </w:p>
    <w:p w:rsidR="00974E9F" w:rsidRDefault="006524BC" w:rsidP="00652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59" w:lineRule="auto"/>
        <w:ind w:left="0" w:firstLine="0"/>
        <w:jc w:val="left"/>
      </w:pPr>
      <w:r>
        <w:rPr>
          <w:b/>
        </w:rPr>
        <w:t xml:space="preserve">13. </w:t>
      </w:r>
      <w:r w:rsidR="00A46C79">
        <w:rPr>
          <w:b/>
        </w:rPr>
        <w:t xml:space="preserve">FIN DEL INFORME PERICIAL </w:t>
      </w:r>
    </w:p>
    <w:p w:rsidR="00974E9F" w:rsidRDefault="00A46C79">
      <w:pPr>
        <w:spacing w:after="188"/>
        <w:ind w:left="-5"/>
      </w:pPr>
      <w:r>
        <w:t xml:space="preserve">A continuación de la firma, se trazará una línea horizontal debajo de la cual se debe incluir la nota FIN DE INFORME. </w:t>
      </w:r>
    </w:p>
    <w:p w:rsidR="00974E9F" w:rsidRPr="00BF55FF" w:rsidRDefault="00A46C79">
      <w:pPr>
        <w:spacing w:after="142" w:line="258" w:lineRule="auto"/>
        <w:ind w:left="0" w:right="111" w:firstLine="0"/>
        <w:rPr>
          <w:sz w:val="14"/>
        </w:rPr>
      </w:pPr>
      <w:r w:rsidRPr="00BF55FF">
        <w:rPr>
          <w:b/>
          <w:sz w:val="16"/>
        </w:rPr>
        <w:t>NOTA</w:t>
      </w:r>
      <w:r w:rsidR="00BF55FF" w:rsidRPr="00BF55FF">
        <w:rPr>
          <w:b/>
          <w:sz w:val="16"/>
        </w:rPr>
        <w:t xml:space="preserve"> </w:t>
      </w:r>
      <w:r w:rsidR="001C4DDA" w:rsidRPr="00BF55FF">
        <w:rPr>
          <w:b/>
          <w:sz w:val="16"/>
        </w:rPr>
        <w:t>4</w:t>
      </w:r>
      <w:r w:rsidRPr="00BF55FF">
        <w:rPr>
          <w:b/>
          <w:sz w:val="16"/>
        </w:rPr>
        <w:t>:</w:t>
      </w:r>
      <w:r w:rsidRPr="00BF55FF">
        <w:rPr>
          <w:sz w:val="16"/>
        </w:rPr>
        <w:t xml:space="preserve"> Las Instituciones que no tienen funciones de Policía Judicial como los que tienen, son respetuosos del contenido del formato de Informe de Investigador de Laboratorio-FPJ-13.  Bajo sus Sistemas de Gestión de Calidad son autónomos para obviar lo relacionado con encabezados, notas, o definir que el contenido de lo plasmado en el formato se presente de forma diferente, pero cumpliendo con la información requerida en el art. 210 del CPP. </w:t>
      </w:r>
    </w:p>
    <w:p w:rsidR="00BF55FF" w:rsidRDefault="00BF55FF">
      <w:pPr>
        <w:spacing w:after="0" w:line="259" w:lineRule="auto"/>
        <w:ind w:left="0" w:firstLine="0"/>
        <w:jc w:val="left"/>
      </w:pPr>
    </w:p>
    <w:p w:rsidR="00BF55FF" w:rsidRDefault="00BF55FF">
      <w:pPr>
        <w:spacing w:after="0" w:line="259" w:lineRule="auto"/>
        <w:ind w:left="0" w:firstLine="0"/>
        <w:jc w:val="left"/>
      </w:pPr>
    </w:p>
    <w:p w:rsidR="00974E9F" w:rsidRDefault="00A46C79">
      <w:pPr>
        <w:spacing w:after="0" w:line="259" w:lineRule="auto"/>
        <w:ind w:left="0" w:firstLine="0"/>
        <w:jc w:val="left"/>
      </w:pPr>
      <w:r>
        <w:t xml:space="preserve"> </w:t>
      </w:r>
      <w:bookmarkStart w:id="0" w:name="_GoBack"/>
      <w:bookmarkEnd w:id="0"/>
    </w:p>
    <w:sectPr w:rsidR="00974E9F">
      <w:footerReference w:type="default" r:id="rId7"/>
      <w:pgSz w:w="12240" w:h="15840"/>
      <w:pgMar w:top="1418" w:right="1698" w:bottom="1595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E0F" w:rsidRDefault="00DC5E0F" w:rsidP="006524BC">
      <w:pPr>
        <w:spacing w:after="0" w:line="240" w:lineRule="auto"/>
      </w:pPr>
      <w:r>
        <w:separator/>
      </w:r>
    </w:p>
  </w:endnote>
  <w:endnote w:type="continuationSeparator" w:id="0">
    <w:p w:rsidR="00DC5E0F" w:rsidRDefault="00DC5E0F" w:rsidP="0065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BC" w:rsidRPr="006524BC" w:rsidRDefault="006524BC" w:rsidP="006524BC">
    <w:pPr>
      <w:ind w:left="-5"/>
      <w:rPr>
        <w:color w:val="000000" w:themeColor="text1"/>
        <w:sz w:val="16"/>
        <w:szCs w:val="16"/>
      </w:rPr>
    </w:pPr>
    <w:r w:rsidRPr="006524BC">
      <w:rPr>
        <w:color w:val="000000" w:themeColor="text1"/>
        <w:sz w:val="16"/>
        <w:szCs w:val="16"/>
      </w:rPr>
      <w:t xml:space="preserve">Versión: 01 </w:t>
    </w:r>
  </w:p>
  <w:p w:rsidR="006524BC" w:rsidRPr="006524BC" w:rsidRDefault="006524BC" w:rsidP="006524BC">
    <w:pPr>
      <w:pStyle w:val="Ttulo2"/>
      <w:tabs>
        <w:tab w:val="right" w:pos="10180"/>
      </w:tabs>
      <w:ind w:left="10180" w:right="360" w:hanging="10180"/>
      <w:rPr>
        <w:rFonts w:ascii="Arial" w:hAnsi="Arial" w:cs="Arial"/>
        <w:bCs/>
        <w:color w:val="000000" w:themeColor="text1"/>
        <w:sz w:val="16"/>
        <w:szCs w:val="16"/>
      </w:rPr>
    </w:pPr>
    <w:r w:rsidRPr="006524BC">
      <w:rPr>
        <w:rFonts w:ascii="Arial" w:hAnsi="Arial" w:cs="Arial"/>
        <w:color w:val="000000" w:themeColor="text1"/>
        <w:sz w:val="16"/>
        <w:szCs w:val="16"/>
      </w:rPr>
      <w:t xml:space="preserve">Aprobación: 20XX-XX-X  </w:t>
    </w:r>
    <w:r w:rsidRPr="006524BC">
      <w:rPr>
        <w:rFonts w:ascii="Arial" w:hAnsi="Arial" w:cs="Arial"/>
        <w:color w:val="000000" w:themeColor="text1"/>
        <w:sz w:val="16"/>
        <w:szCs w:val="16"/>
      </w:rPr>
      <w:tab/>
    </w:r>
    <w:r w:rsidRPr="006524BC">
      <w:rPr>
        <w:rFonts w:ascii="Arial" w:hAnsi="Arial" w:cs="Arial"/>
        <w:color w:val="000000" w:themeColor="text1"/>
        <w:sz w:val="16"/>
        <w:szCs w:val="16"/>
        <w:lang w:val="es-ES"/>
      </w:rPr>
      <w:t xml:space="preserve">Página </w:t>
    </w:r>
    <w:r w:rsidRPr="006524BC">
      <w:rPr>
        <w:rFonts w:ascii="Arial" w:hAnsi="Arial" w:cs="Arial"/>
        <w:bCs/>
        <w:color w:val="000000" w:themeColor="text1"/>
        <w:sz w:val="16"/>
        <w:szCs w:val="16"/>
      </w:rPr>
      <w:fldChar w:fldCharType="begin"/>
    </w:r>
    <w:r w:rsidRPr="006524BC">
      <w:rPr>
        <w:rFonts w:ascii="Arial" w:hAnsi="Arial" w:cs="Arial"/>
        <w:bCs/>
        <w:color w:val="000000" w:themeColor="text1"/>
        <w:sz w:val="16"/>
        <w:szCs w:val="16"/>
      </w:rPr>
      <w:instrText>PAGE</w:instrText>
    </w:r>
    <w:r w:rsidRPr="006524BC">
      <w:rPr>
        <w:rFonts w:ascii="Arial" w:hAnsi="Arial" w:cs="Arial"/>
        <w:bCs/>
        <w:color w:val="000000" w:themeColor="text1"/>
        <w:sz w:val="16"/>
        <w:szCs w:val="16"/>
      </w:rPr>
      <w:fldChar w:fldCharType="separate"/>
    </w:r>
    <w:r>
      <w:rPr>
        <w:rFonts w:ascii="Arial" w:hAnsi="Arial" w:cs="Arial"/>
        <w:bCs/>
        <w:noProof/>
        <w:color w:val="000000" w:themeColor="text1"/>
        <w:sz w:val="16"/>
        <w:szCs w:val="16"/>
      </w:rPr>
      <w:t>2</w:t>
    </w:r>
    <w:r w:rsidRPr="006524BC">
      <w:rPr>
        <w:rFonts w:ascii="Arial" w:hAnsi="Arial" w:cs="Arial"/>
        <w:bCs/>
        <w:color w:val="000000" w:themeColor="text1"/>
        <w:sz w:val="16"/>
        <w:szCs w:val="16"/>
      </w:rPr>
      <w:fldChar w:fldCharType="end"/>
    </w:r>
    <w:r w:rsidRPr="006524BC">
      <w:rPr>
        <w:rFonts w:ascii="Arial" w:hAnsi="Arial" w:cs="Arial"/>
        <w:color w:val="000000" w:themeColor="text1"/>
        <w:sz w:val="16"/>
        <w:szCs w:val="16"/>
        <w:lang w:val="es-ES"/>
      </w:rPr>
      <w:t xml:space="preserve"> de </w:t>
    </w:r>
    <w:r w:rsidRPr="006524BC">
      <w:rPr>
        <w:rFonts w:ascii="Arial" w:hAnsi="Arial" w:cs="Arial"/>
        <w:bCs/>
        <w:color w:val="000000" w:themeColor="text1"/>
        <w:sz w:val="16"/>
        <w:szCs w:val="16"/>
      </w:rPr>
      <w:fldChar w:fldCharType="begin"/>
    </w:r>
    <w:r w:rsidRPr="006524BC">
      <w:rPr>
        <w:rFonts w:ascii="Arial" w:hAnsi="Arial" w:cs="Arial"/>
        <w:bCs/>
        <w:color w:val="000000" w:themeColor="text1"/>
        <w:sz w:val="16"/>
        <w:szCs w:val="16"/>
      </w:rPr>
      <w:instrText>NUMPAGES</w:instrText>
    </w:r>
    <w:r w:rsidRPr="006524BC">
      <w:rPr>
        <w:rFonts w:ascii="Arial" w:hAnsi="Arial" w:cs="Arial"/>
        <w:bCs/>
        <w:color w:val="000000" w:themeColor="text1"/>
        <w:sz w:val="16"/>
        <w:szCs w:val="16"/>
      </w:rPr>
      <w:fldChar w:fldCharType="separate"/>
    </w:r>
    <w:r>
      <w:rPr>
        <w:rFonts w:ascii="Arial" w:hAnsi="Arial" w:cs="Arial"/>
        <w:bCs/>
        <w:noProof/>
        <w:color w:val="000000" w:themeColor="text1"/>
        <w:sz w:val="16"/>
        <w:szCs w:val="16"/>
      </w:rPr>
      <w:t>2</w:t>
    </w:r>
    <w:r w:rsidRPr="006524BC">
      <w:rPr>
        <w:rFonts w:ascii="Arial" w:hAnsi="Arial" w:cs="Arial"/>
        <w:bCs/>
        <w:color w:val="000000" w:themeColor="text1"/>
        <w:sz w:val="16"/>
        <w:szCs w:val="16"/>
      </w:rPr>
      <w:fldChar w:fldCharType="end"/>
    </w:r>
  </w:p>
  <w:p w:rsidR="006524BC" w:rsidRPr="006524BC" w:rsidRDefault="006524BC" w:rsidP="006524BC">
    <w:pPr>
      <w:ind w:left="-5"/>
      <w:rPr>
        <w:color w:val="000000" w:themeColor="text1"/>
        <w:sz w:val="16"/>
        <w:szCs w:val="16"/>
      </w:rPr>
    </w:pPr>
    <w:r w:rsidRPr="006524BC">
      <w:rPr>
        <w:color w:val="000000" w:themeColor="text1"/>
        <w:sz w:val="16"/>
        <w:szCs w:val="16"/>
      </w:rPr>
      <w:t xml:space="preserve">Publicación: 20XX-XX-XX </w:t>
    </w:r>
  </w:p>
  <w:p w:rsidR="006524BC" w:rsidRDefault="006524BC">
    <w:pPr>
      <w:pStyle w:val="Piedepgina"/>
    </w:pPr>
  </w:p>
  <w:p w:rsidR="006524BC" w:rsidRDefault="006524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E0F" w:rsidRDefault="00DC5E0F" w:rsidP="006524BC">
      <w:pPr>
        <w:spacing w:after="0" w:line="240" w:lineRule="auto"/>
      </w:pPr>
      <w:r>
        <w:separator/>
      </w:r>
    </w:p>
  </w:footnote>
  <w:footnote w:type="continuationSeparator" w:id="0">
    <w:p w:rsidR="00DC5E0F" w:rsidRDefault="00DC5E0F" w:rsidP="00652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0862"/>
    <w:multiLevelType w:val="hybridMultilevel"/>
    <w:tmpl w:val="D0B0A116"/>
    <w:lvl w:ilvl="0" w:tplc="D73C9E5C">
      <w:start w:val="5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7642FB4"/>
    <w:multiLevelType w:val="hybridMultilevel"/>
    <w:tmpl w:val="6DDAB0B8"/>
    <w:lvl w:ilvl="0" w:tplc="D8F4B6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A2008D"/>
    <w:multiLevelType w:val="hybridMultilevel"/>
    <w:tmpl w:val="93849732"/>
    <w:lvl w:ilvl="0" w:tplc="0058AD1A">
      <w:start w:val="5"/>
      <w:numFmt w:val="decimal"/>
      <w:pStyle w:val="Ttulo1"/>
      <w:lvlText w:val="%1."/>
      <w:lvlJc w:val="left"/>
      <w:pPr>
        <w:ind w:left="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EAD700">
      <w:start w:val="1"/>
      <w:numFmt w:val="lowerLetter"/>
      <w:lvlText w:val="%2"/>
      <w:lvlJc w:val="left"/>
      <w:pPr>
        <w:ind w:left="11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E56BFE4">
      <w:start w:val="1"/>
      <w:numFmt w:val="lowerRoman"/>
      <w:lvlText w:val="%3"/>
      <w:lvlJc w:val="left"/>
      <w:pPr>
        <w:ind w:left="18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7E84602">
      <w:start w:val="1"/>
      <w:numFmt w:val="decimal"/>
      <w:lvlText w:val="%4"/>
      <w:lvlJc w:val="left"/>
      <w:pPr>
        <w:ind w:left="25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E877D6">
      <w:start w:val="1"/>
      <w:numFmt w:val="lowerLetter"/>
      <w:lvlText w:val="%5"/>
      <w:lvlJc w:val="left"/>
      <w:pPr>
        <w:ind w:left="32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0AE886">
      <w:start w:val="1"/>
      <w:numFmt w:val="lowerRoman"/>
      <w:lvlText w:val="%6"/>
      <w:lvlJc w:val="left"/>
      <w:pPr>
        <w:ind w:left="39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96323C">
      <w:start w:val="1"/>
      <w:numFmt w:val="decimal"/>
      <w:lvlText w:val="%7"/>
      <w:lvlJc w:val="left"/>
      <w:pPr>
        <w:ind w:left="47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48E1D80">
      <w:start w:val="1"/>
      <w:numFmt w:val="lowerLetter"/>
      <w:lvlText w:val="%8"/>
      <w:lvlJc w:val="left"/>
      <w:pPr>
        <w:ind w:left="54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0E5572">
      <w:start w:val="1"/>
      <w:numFmt w:val="lowerRoman"/>
      <w:lvlText w:val="%9"/>
      <w:lvlJc w:val="left"/>
      <w:pPr>
        <w:ind w:left="61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9F"/>
    <w:rsid w:val="00077A3E"/>
    <w:rsid w:val="001C4DDA"/>
    <w:rsid w:val="00297B35"/>
    <w:rsid w:val="002A688D"/>
    <w:rsid w:val="006524BC"/>
    <w:rsid w:val="00766EDE"/>
    <w:rsid w:val="007E76EA"/>
    <w:rsid w:val="00974E9F"/>
    <w:rsid w:val="00A45FE7"/>
    <w:rsid w:val="00A46C79"/>
    <w:rsid w:val="00BF55FF"/>
    <w:rsid w:val="00D9065B"/>
    <w:rsid w:val="00DC5E0F"/>
    <w:rsid w:val="00FA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618ABA0-8D46-42F6-8EB0-AE58BC05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9" w:lineRule="auto"/>
      <w:ind w:left="10" w:hanging="10"/>
      <w:jc w:val="both"/>
    </w:pPr>
    <w:rPr>
      <w:rFonts w:ascii="Arial" w:eastAsia="Arial" w:hAnsi="Arial" w:cs="Arial"/>
      <w:color w:val="212121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numPr>
        <w:numId w:val="1"/>
      </w:numPr>
      <w:spacing w:after="0"/>
      <w:ind w:left="20" w:hanging="10"/>
      <w:outlineLvl w:val="0"/>
    </w:pPr>
    <w:rPr>
      <w:rFonts w:ascii="Arial" w:eastAsia="Arial" w:hAnsi="Arial" w:cs="Arial"/>
      <w:b/>
      <w:color w:val="000000"/>
      <w:sz w:val="1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24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524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4BC"/>
    <w:rPr>
      <w:rFonts w:ascii="Arial" w:eastAsia="Arial" w:hAnsi="Arial" w:cs="Arial"/>
      <w:color w:val="212121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6524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4BC"/>
    <w:rPr>
      <w:rFonts w:ascii="Arial" w:eastAsia="Arial" w:hAnsi="Arial" w:cs="Arial"/>
      <w:color w:val="212121"/>
      <w:sz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24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876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Rafael Osorio Aguilera</dc:creator>
  <cp:keywords/>
  <cp:lastModifiedBy>Blanca Cuesta Vanegas</cp:lastModifiedBy>
  <cp:revision>2</cp:revision>
  <dcterms:created xsi:type="dcterms:W3CDTF">2018-02-23T23:58:00Z</dcterms:created>
  <dcterms:modified xsi:type="dcterms:W3CDTF">2018-02-23T23:58:00Z</dcterms:modified>
</cp:coreProperties>
</file>